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E312C" w14:textId="77777777" w:rsidR="004C1D46" w:rsidRDefault="004C1D46" w:rsidP="004C1D46">
      <w:pPr>
        <w:jc w:val="right"/>
      </w:pPr>
    </w:p>
    <w:p w14:paraId="62F160B0" w14:textId="77777777" w:rsidR="00BF392B" w:rsidRPr="00CA3BEB" w:rsidRDefault="004C1D46">
      <w:pPr>
        <w:rPr>
          <w:b/>
        </w:rPr>
      </w:pPr>
      <w:r w:rsidRPr="00CA3BEB">
        <w:rPr>
          <w:b/>
        </w:rPr>
        <w:t>ROAD TRAFFIC REGULATION ACT 1984 – SECTION 14</w:t>
      </w:r>
      <w:r w:rsidR="00A62420">
        <w:rPr>
          <w:b/>
        </w:rPr>
        <w:t>(1)</w:t>
      </w:r>
    </w:p>
    <w:p w14:paraId="61173BF1" w14:textId="77777777" w:rsidR="004C1D46" w:rsidRDefault="004C1D46">
      <w:r>
        <w:t xml:space="preserve">The </w:t>
      </w:r>
      <w:r w:rsidR="00A62420">
        <w:t xml:space="preserve">Council of the </w:t>
      </w:r>
      <w:r w:rsidR="00AC44A7">
        <w:t xml:space="preserve">London Borough of Haringey </w:t>
      </w:r>
      <w:r w:rsidR="008D68E5">
        <w:t xml:space="preserve">intend to make </w:t>
      </w:r>
      <w:r w:rsidR="00B1250F">
        <w:t>the Temporary</w:t>
      </w:r>
      <w:r>
        <w:t xml:space="preserve"> Traffic Order</w:t>
      </w:r>
      <w:r w:rsidR="008D68E5">
        <w:t>s</w:t>
      </w:r>
      <w:r>
        <w:t xml:space="preserve"> </w:t>
      </w:r>
      <w:r w:rsidR="00AC44A7">
        <w:t xml:space="preserve">described </w:t>
      </w:r>
      <w:r>
        <w:t>below:-</w:t>
      </w:r>
    </w:p>
    <w:p w14:paraId="53637DFE" w14:textId="77777777" w:rsidR="00CA3BEB" w:rsidRDefault="00CA3B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CA3BEB" w:rsidRPr="00EE690D" w14:paraId="3AB810F3" w14:textId="77777777" w:rsidTr="00491B89">
        <w:tc>
          <w:tcPr>
            <w:tcW w:w="8528" w:type="dxa"/>
            <w:gridSpan w:val="2"/>
          </w:tcPr>
          <w:p w14:paraId="2AE55344" w14:textId="3F2886B1" w:rsidR="00CA3BEB" w:rsidRPr="00EE690D" w:rsidRDefault="004714AF" w:rsidP="00491B89">
            <w:pPr>
              <w:spacing w:before="120" w:after="120"/>
              <w:rPr>
                <w:b/>
              </w:rPr>
            </w:pPr>
            <w:bookmarkStart w:id="0" w:name="_Hlk2001354"/>
            <w:r>
              <w:rPr>
                <w:b/>
              </w:rPr>
              <w:t>Jackson Lane N6 TMO 172</w:t>
            </w:r>
          </w:p>
        </w:tc>
      </w:tr>
      <w:tr w:rsidR="00CA3BEB" w:rsidRPr="00EE690D" w14:paraId="39162393" w14:textId="77777777" w:rsidTr="00491B89">
        <w:tc>
          <w:tcPr>
            <w:tcW w:w="8528" w:type="dxa"/>
            <w:gridSpan w:val="2"/>
          </w:tcPr>
          <w:p w14:paraId="426F0B6D" w14:textId="32E52191" w:rsidR="00CA3BEB" w:rsidRPr="00EE690D" w:rsidRDefault="00CA3BEB" w:rsidP="00617ED5">
            <w:pPr>
              <w:spacing w:before="120" w:after="120"/>
            </w:pPr>
            <w:r w:rsidRPr="00EE690D">
              <w:rPr>
                <w:b/>
              </w:rPr>
              <w:t xml:space="preserve">Reason for </w:t>
            </w:r>
            <w:r w:rsidR="00D63B76" w:rsidRPr="00EE690D">
              <w:rPr>
                <w:b/>
              </w:rPr>
              <w:t xml:space="preserve">14(1) </w:t>
            </w:r>
            <w:r w:rsidRPr="00EE690D">
              <w:rPr>
                <w:b/>
              </w:rPr>
              <w:t>Order</w:t>
            </w:r>
            <w:r w:rsidRPr="00EE690D">
              <w:t xml:space="preserve"> – </w:t>
            </w:r>
            <w:r w:rsidR="00C979FF" w:rsidRPr="00EE690D">
              <w:t xml:space="preserve"> </w:t>
            </w:r>
            <w:r w:rsidR="00EE690D" w:rsidRPr="00EE690D">
              <w:t xml:space="preserve"> </w:t>
            </w:r>
            <w:r w:rsidR="00044A07">
              <w:t>Sewer repair</w:t>
            </w:r>
          </w:p>
        </w:tc>
      </w:tr>
      <w:tr w:rsidR="00CA3BEB" w:rsidRPr="00EE690D" w14:paraId="6FFA3662" w14:textId="77777777" w:rsidTr="00491B89">
        <w:tc>
          <w:tcPr>
            <w:tcW w:w="4264" w:type="dxa"/>
          </w:tcPr>
          <w:p w14:paraId="215F831D" w14:textId="77777777" w:rsidR="00CA3BEB" w:rsidRPr="00EE690D" w:rsidRDefault="00CA3BEB" w:rsidP="00491B89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6835B8AA" w14:textId="77777777" w:rsidR="00CA3BEB" w:rsidRPr="00EE690D" w:rsidRDefault="00CA3BEB" w:rsidP="00491B89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CA3BEB" w:rsidRPr="006E2C11" w14:paraId="61C54E78" w14:textId="77777777" w:rsidTr="00491B89">
        <w:tc>
          <w:tcPr>
            <w:tcW w:w="4264" w:type="dxa"/>
          </w:tcPr>
          <w:p w14:paraId="373401E6" w14:textId="025E20A0" w:rsidR="0043308C" w:rsidRPr="00044A07" w:rsidRDefault="00F845AE" w:rsidP="0043308C">
            <w:pPr>
              <w:jc w:val="center"/>
            </w:pPr>
            <w:r w:rsidRPr="00044A07">
              <w:t>Date:</w:t>
            </w:r>
            <w:r w:rsidR="00044A07">
              <w:t xml:space="preserve"> </w:t>
            </w:r>
            <w:r w:rsidR="00044A07" w:rsidRPr="00044A07">
              <w:t>31-01-22 to 13-03-22</w:t>
            </w:r>
          </w:p>
          <w:p w14:paraId="234CD761" w14:textId="77777777" w:rsidR="00044A07" w:rsidRDefault="00044A07" w:rsidP="0043308C">
            <w:pPr>
              <w:jc w:val="center"/>
            </w:pPr>
          </w:p>
          <w:p w14:paraId="7F334D68" w14:textId="701651CB" w:rsidR="00CA3BEB" w:rsidRPr="00EE690D" w:rsidRDefault="00CA3BEB" w:rsidP="0043308C">
            <w:pPr>
              <w:jc w:val="center"/>
            </w:pPr>
            <w:r w:rsidRPr="00044A07">
              <w:t xml:space="preserve"> </w:t>
            </w:r>
            <w:r w:rsidR="00F845AE" w:rsidRPr="00044A07">
              <w:t>T</w:t>
            </w:r>
            <w:r w:rsidRPr="00044A07">
              <w:t>ime</w:t>
            </w:r>
            <w:r w:rsidR="00044A07" w:rsidRPr="00044A07">
              <w:t>24hrs</w:t>
            </w:r>
          </w:p>
        </w:tc>
        <w:tc>
          <w:tcPr>
            <w:tcW w:w="4264" w:type="dxa"/>
          </w:tcPr>
          <w:p w14:paraId="26DE9350" w14:textId="2A3A0DD2" w:rsidR="00EE690D" w:rsidRDefault="00044A07" w:rsidP="00044A07">
            <w:r>
              <w:t xml:space="preserve">Road closure of </w:t>
            </w:r>
            <w:r w:rsidR="003D0D14">
              <w:t>Jackson Lane</w:t>
            </w:r>
            <w:r>
              <w:t xml:space="preserve"> junction with Southwood lawn and side of number 51</w:t>
            </w:r>
          </w:p>
          <w:p w14:paraId="6E2D7A9A" w14:textId="6A4652AC" w:rsidR="00CA3BEB" w:rsidRPr="00EE690D" w:rsidRDefault="00C979FF" w:rsidP="00044A07">
            <w:r w:rsidRPr="00EE690D">
              <w:t xml:space="preserve">No parking/waiting/loading/unloading  </w:t>
            </w:r>
          </w:p>
        </w:tc>
      </w:tr>
      <w:bookmarkEnd w:id="0"/>
    </w:tbl>
    <w:p w14:paraId="69603A6B" w14:textId="77777777" w:rsidR="00CA3BEB" w:rsidRPr="006E2C11" w:rsidRDefault="00CA3B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43308C" w:rsidRPr="00EE690D" w14:paraId="5CD154C6" w14:textId="77777777" w:rsidTr="00D01990">
        <w:tc>
          <w:tcPr>
            <w:tcW w:w="8528" w:type="dxa"/>
            <w:gridSpan w:val="2"/>
          </w:tcPr>
          <w:p w14:paraId="4965AE02" w14:textId="47701C86" w:rsidR="0043308C" w:rsidRPr="00EE690D" w:rsidRDefault="004714AF" w:rsidP="00D01990">
            <w:pPr>
              <w:spacing w:before="120" w:after="120"/>
              <w:rPr>
                <w:b/>
              </w:rPr>
            </w:pPr>
            <w:r>
              <w:rPr>
                <w:b/>
              </w:rPr>
              <w:t>Twyford Avenue N2 TMO 179</w:t>
            </w:r>
          </w:p>
        </w:tc>
      </w:tr>
      <w:tr w:rsidR="0043308C" w:rsidRPr="00EE690D" w14:paraId="60214317" w14:textId="77777777" w:rsidTr="00D01990">
        <w:tc>
          <w:tcPr>
            <w:tcW w:w="8528" w:type="dxa"/>
            <w:gridSpan w:val="2"/>
          </w:tcPr>
          <w:p w14:paraId="65AE05CC" w14:textId="74649F27" w:rsidR="0043308C" w:rsidRPr="00EE690D" w:rsidRDefault="0043308C" w:rsidP="00D01990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–   </w:t>
            </w:r>
            <w:r w:rsidR="0078628D">
              <w:t xml:space="preserve">New </w:t>
            </w:r>
            <w:r w:rsidR="003D0D14">
              <w:t>water mains</w:t>
            </w:r>
            <w:r w:rsidR="0078628D">
              <w:t xml:space="preserve"> plus reinstating </w:t>
            </w:r>
          </w:p>
        </w:tc>
      </w:tr>
      <w:tr w:rsidR="0043308C" w:rsidRPr="00EE690D" w14:paraId="5D2BF50C" w14:textId="77777777" w:rsidTr="00D01990">
        <w:tc>
          <w:tcPr>
            <w:tcW w:w="4264" w:type="dxa"/>
          </w:tcPr>
          <w:p w14:paraId="7717BD57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64C7B9B3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43308C" w:rsidRPr="006E2C11" w14:paraId="10486979" w14:textId="77777777" w:rsidTr="00D01990">
        <w:tc>
          <w:tcPr>
            <w:tcW w:w="4264" w:type="dxa"/>
          </w:tcPr>
          <w:p w14:paraId="783EFEC2" w14:textId="77777777" w:rsidR="003D0D14" w:rsidRDefault="003D0D14" w:rsidP="00D01990">
            <w:pPr>
              <w:jc w:val="center"/>
            </w:pPr>
          </w:p>
          <w:p w14:paraId="7A64B236" w14:textId="3E37A844" w:rsidR="0043308C" w:rsidRPr="003D0D14" w:rsidRDefault="0043308C" w:rsidP="00D01990">
            <w:pPr>
              <w:jc w:val="center"/>
            </w:pPr>
            <w:r w:rsidRPr="003D0D14">
              <w:t>Date:</w:t>
            </w:r>
            <w:r w:rsidR="0078628D" w:rsidRPr="003D0D14">
              <w:t>18-02-2</w:t>
            </w:r>
            <w:r w:rsidR="003D0D14">
              <w:t>2</w:t>
            </w:r>
            <w:r w:rsidR="0078628D" w:rsidRPr="003D0D14">
              <w:t xml:space="preserve"> to 26-01-22</w:t>
            </w:r>
          </w:p>
          <w:p w14:paraId="0415AE31" w14:textId="61918A3E" w:rsidR="0043308C" w:rsidRPr="00EE690D" w:rsidRDefault="0043308C" w:rsidP="00D01990">
            <w:pPr>
              <w:jc w:val="center"/>
            </w:pPr>
            <w:r w:rsidRPr="003D0D14">
              <w:t xml:space="preserve"> Time</w:t>
            </w:r>
            <w:r w:rsidR="0078628D" w:rsidRPr="003D0D14">
              <w:t>: 24hrs</w:t>
            </w:r>
          </w:p>
        </w:tc>
        <w:tc>
          <w:tcPr>
            <w:tcW w:w="4264" w:type="dxa"/>
          </w:tcPr>
          <w:p w14:paraId="3A2F53B7" w14:textId="77777777" w:rsidR="0078628D" w:rsidRDefault="0078628D" w:rsidP="0078628D">
            <w:r>
              <w:t>Suspension of parking:</w:t>
            </w:r>
          </w:p>
          <w:p w14:paraId="4EC848EB" w14:textId="4886ED9C" w:rsidR="0043308C" w:rsidRDefault="0078628D" w:rsidP="0078628D">
            <w:pPr>
              <w:pStyle w:val="ListParagraph"/>
              <w:numPr>
                <w:ilvl w:val="0"/>
                <w:numId w:val="4"/>
              </w:numPr>
            </w:pPr>
            <w:r>
              <w:t>From outside number 2</w:t>
            </w:r>
            <w:r w:rsidR="003D0D14">
              <w:t>c</w:t>
            </w:r>
            <w:r>
              <w:t xml:space="preserve"> to number 4</w:t>
            </w:r>
          </w:p>
          <w:p w14:paraId="40B5DEB5" w14:textId="5CB4B503" w:rsidR="0078628D" w:rsidRDefault="0078628D" w:rsidP="0078628D">
            <w:pPr>
              <w:pStyle w:val="ListParagraph"/>
              <w:numPr>
                <w:ilvl w:val="0"/>
                <w:numId w:val="4"/>
              </w:numPr>
            </w:pPr>
            <w:r>
              <w:t>From lamp post TF</w:t>
            </w:r>
            <w:r w:rsidR="003D0D14">
              <w:t>4F</w:t>
            </w:r>
            <w:r>
              <w:t xml:space="preserve"> to </w:t>
            </w:r>
            <w:r w:rsidR="003D0D14">
              <w:t>TW7F</w:t>
            </w:r>
          </w:p>
          <w:p w14:paraId="74A24545" w14:textId="77777777" w:rsidR="0043308C" w:rsidRPr="00EE690D" w:rsidRDefault="0043308C" w:rsidP="00D01990">
            <w:pPr>
              <w:jc w:val="center"/>
            </w:pPr>
            <w:r w:rsidRPr="00EE690D">
              <w:t xml:space="preserve">No parking/waiting/loading/unloading  </w:t>
            </w:r>
          </w:p>
        </w:tc>
      </w:tr>
    </w:tbl>
    <w:p w14:paraId="0E45D834" w14:textId="3C693532" w:rsidR="002C1FCE" w:rsidRDefault="002C1F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43308C" w:rsidRPr="00EE690D" w14:paraId="1C8DDA2C" w14:textId="77777777" w:rsidTr="00D01990">
        <w:tc>
          <w:tcPr>
            <w:tcW w:w="8528" w:type="dxa"/>
            <w:gridSpan w:val="2"/>
          </w:tcPr>
          <w:p w14:paraId="4502EEBE" w14:textId="2D66A15C" w:rsidR="0043308C" w:rsidRPr="00EE690D" w:rsidRDefault="004714AF" w:rsidP="00D01990">
            <w:pPr>
              <w:spacing w:before="120" w:after="120"/>
              <w:rPr>
                <w:b/>
              </w:rPr>
            </w:pPr>
            <w:r>
              <w:rPr>
                <w:b/>
              </w:rPr>
              <w:t>Osier Crescent/Coppetts Road N10 TMO 191</w:t>
            </w:r>
          </w:p>
        </w:tc>
      </w:tr>
      <w:tr w:rsidR="0043308C" w:rsidRPr="00EE690D" w14:paraId="1DDEF824" w14:textId="77777777" w:rsidTr="00D01990">
        <w:tc>
          <w:tcPr>
            <w:tcW w:w="8528" w:type="dxa"/>
            <w:gridSpan w:val="2"/>
          </w:tcPr>
          <w:p w14:paraId="08F79A16" w14:textId="619D53B4" w:rsidR="0043308C" w:rsidRPr="00EE690D" w:rsidRDefault="0043308C" w:rsidP="00D01990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– </w:t>
            </w:r>
            <w:r w:rsidR="003D0D14">
              <w:t>Electrical Works</w:t>
            </w:r>
            <w:r w:rsidRPr="00EE690D">
              <w:t xml:space="preserve">  </w:t>
            </w:r>
          </w:p>
        </w:tc>
      </w:tr>
      <w:tr w:rsidR="003D0D14" w:rsidRPr="00EE690D" w14:paraId="639D94FD" w14:textId="77777777" w:rsidTr="00D01990">
        <w:tc>
          <w:tcPr>
            <w:tcW w:w="4264" w:type="dxa"/>
          </w:tcPr>
          <w:p w14:paraId="0DE22EC2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39288C5D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3D0D14" w:rsidRPr="006E2C11" w14:paraId="4601D067" w14:textId="77777777" w:rsidTr="00D01990">
        <w:tc>
          <w:tcPr>
            <w:tcW w:w="4264" w:type="dxa"/>
          </w:tcPr>
          <w:p w14:paraId="5ECF4DC4" w14:textId="77777777" w:rsidR="00306352" w:rsidRDefault="00306352" w:rsidP="00D01990">
            <w:pPr>
              <w:jc w:val="center"/>
            </w:pPr>
          </w:p>
          <w:p w14:paraId="2F699982" w14:textId="14460F8D" w:rsidR="0043308C" w:rsidRPr="003D0D14" w:rsidRDefault="0043308C" w:rsidP="00D01990">
            <w:pPr>
              <w:jc w:val="center"/>
            </w:pPr>
            <w:r w:rsidRPr="003D0D14">
              <w:t>Date:</w:t>
            </w:r>
            <w:r w:rsidR="003D0D14" w:rsidRPr="003D0D14">
              <w:t xml:space="preserve"> 17-01-22 to 21-01-22</w:t>
            </w:r>
          </w:p>
          <w:p w14:paraId="0132E3C7" w14:textId="246540B3" w:rsidR="0043308C" w:rsidRPr="00EE690D" w:rsidRDefault="0043308C" w:rsidP="00D01990">
            <w:pPr>
              <w:jc w:val="center"/>
            </w:pPr>
            <w:r w:rsidRPr="003D0D14">
              <w:t xml:space="preserve"> Time</w:t>
            </w:r>
            <w:r w:rsidR="003D0D14">
              <w:t xml:space="preserve">: </w:t>
            </w:r>
            <w:r w:rsidR="003D0D14" w:rsidRPr="003D0D14">
              <w:t>24hrs</w:t>
            </w:r>
          </w:p>
        </w:tc>
        <w:tc>
          <w:tcPr>
            <w:tcW w:w="4264" w:type="dxa"/>
          </w:tcPr>
          <w:p w14:paraId="1858EAB7" w14:textId="77777777" w:rsidR="0043308C" w:rsidRDefault="0043308C" w:rsidP="00D01990">
            <w:pPr>
              <w:jc w:val="center"/>
            </w:pPr>
            <w:r>
              <w:t>.</w:t>
            </w:r>
          </w:p>
          <w:p w14:paraId="7031E92B" w14:textId="61BAC5ED" w:rsidR="003D0D14" w:rsidRDefault="003D0D14" w:rsidP="003D0D14">
            <w:pPr>
              <w:pStyle w:val="ListParagraph"/>
              <w:numPr>
                <w:ilvl w:val="0"/>
                <w:numId w:val="5"/>
              </w:numPr>
            </w:pPr>
            <w:r>
              <w:t xml:space="preserve">Road closure of Osier Crescent Junction with Coppetts Road N10 </w:t>
            </w:r>
          </w:p>
          <w:p w14:paraId="4B5A7F83" w14:textId="6B3B4909" w:rsidR="003D0D14" w:rsidRDefault="003D0D14" w:rsidP="003D0D14">
            <w:pPr>
              <w:pStyle w:val="ListParagraph"/>
              <w:numPr>
                <w:ilvl w:val="0"/>
                <w:numId w:val="5"/>
              </w:numPr>
            </w:pPr>
            <w:r>
              <w:t>Suspension of parking outside numbers 98 to 114 Coppetts Road N10 (inclusive)</w:t>
            </w:r>
          </w:p>
          <w:p w14:paraId="26312269" w14:textId="2948FD80" w:rsidR="0043308C" w:rsidRPr="00EE690D" w:rsidRDefault="003D0D14" w:rsidP="00D01990">
            <w:pPr>
              <w:jc w:val="center"/>
            </w:pPr>
            <w:r>
              <w:t>No p</w:t>
            </w:r>
            <w:r w:rsidR="0043308C" w:rsidRPr="00EE690D">
              <w:t xml:space="preserve">arking/waiting/loading/unloading  </w:t>
            </w:r>
          </w:p>
        </w:tc>
      </w:tr>
    </w:tbl>
    <w:p w14:paraId="2B2A9E8D" w14:textId="1D114378" w:rsidR="0043308C" w:rsidRDefault="0043308C"/>
    <w:p w14:paraId="3A560792" w14:textId="4EA4CEBB" w:rsidR="0043308C" w:rsidRDefault="004330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43308C" w:rsidRPr="00EE690D" w14:paraId="6F924282" w14:textId="77777777" w:rsidTr="00D01990">
        <w:tc>
          <w:tcPr>
            <w:tcW w:w="8528" w:type="dxa"/>
            <w:gridSpan w:val="2"/>
          </w:tcPr>
          <w:p w14:paraId="3FF33057" w14:textId="5A0A9B3A" w:rsidR="0043308C" w:rsidRPr="00EE690D" w:rsidRDefault="004714AF" w:rsidP="00D01990">
            <w:pPr>
              <w:spacing w:before="120" w:after="120"/>
              <w:rPr>
                <w:b/>
              </w:rPr>
            </w:pPr>
            <w:r>
              <w:rPr>
                <w:b/>
              </w:rPr>
              <w:t>Etheldene Avenue N10 TMO 195</w:t>
            </w:r>
          </w:p>
        </w:tc>
      </w:tr>
      <w:tr w:rsidR="0043308C" w:rsidRPr="00EE690D" w14:paraId="1937C018" w14:textId="77777777" w:rsidTr="00D01990">
        <w:tc>
          <w:tcPr>
            <w:tcW w:w="8528" w:type="dxa"/>
            <w:gridSpan w:val="2"/>
          </w:tcPr>
          <w:p w14:paraId="590E6B50" w14:textId="3FED19D8" w:rsidR="0043308C" w:rsidRPr="00EE690D" w:rsidRDefault="0043308C" w:rsidP="00D01990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–   </w:t>
            </w:r>
            <w:r w:rsidR="00EB1E2A">
              <w:t xml:space="preserve"> Repair of a service pipe relay</w:t>
            </w:r>
          </w:p>
        </w:tc>
      </w:tr>
      <w:tr w:rsidR="0043308C" w:rsidRPr="00EE690D" w14:paraId="5C4FDCB0" w14:textId="77777777" w:rsidTr="00D01990">
        <w:tc>
          <w:tcPr>
            <w:tcW w:w="4264" w:type="dxa"/>
          </w:tcPr>
          <w:p w14:paraId="0AD11F01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139F2B61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43308C" w:rsidRPr="006E2C11" w14:paraId="4FC4FAFD" w14:textId="77777777" w:rsidTr="00D01990">
        <w:tc>
          <w:tcPr>
            <w:tcW w:w="4264" w:type="dxa"/>
          </w:tcPr>
          <w:p w14:paraId="60DA3B63" w14:textId="77777777" w:rsidR="00F11024" w:rsidRDefault="00F11024" w:rsidP="00D01990">
            <w:pPr>
              <w:jc w:val="center"/>
            </w:pPr>
          </w:p>
          <w:p w14:paraId="7ED22B78" w14:textId="02CE2DD2" w:rsidR="0043308C" w:rsidRPr="00EB1E2A" w:rsidRDefault="0043308C" w:rsidP="00D01990">
            <w:pPr>
              <w:jc w:val="center"/>
            </w:pPr>
            <w:r w:rsidRPr="00EB1E2A">
              <w:t>Date:</w:t>
            </w:r>
            <w:r w:rsidR="00EB1E2A" w:rsidRPr="00EB1E2A">
              <w:t>31-01-22 to 04-02-2</w:t>
            </w:r>
            <w:r w:rsidR="00A445B1">
              <w:t>2</w:t>
            </w:r>
          </w:p>
          <w:p w14:paraId="5FDA8B22" w14:textId="19CE4B6F" w:rsidR="0043308C" w:rsidRPr="00EE690D" w:rsidRDefault="0043308C" w:rsidP="00D01990">
            <w:pPr>
              <w:jc w:val="center"/>
            </w:pPr>
            <w:r w:rsidRPr="00EB1E2A">
              <w:t xml:space="preserve"> Time</w:t>
            </w:r>
            <w:r w:rsidR="00EB1E2A" w:rsidRPr="00EB1E2A">
              <w:t>: 24hrs</w:t>
            </w:r>
          </w:p>
        </w:tc>
        <w:tc>
          <w:tcPr>
            <w:tcW w:w="4264" w:type="dxa"/>
          </w:tcPr>
          <w:p w14:paraId="5E1890F5" w14:textId="439B9ADF" w:rsidR="0043308C" w:rsidRDefault="00EB1E2A" w:rsidP="00EA5D32">
            <w:pPr>
              <w:pStyle w:val="ListParagraph"/>
              <w:numPr>
                <w:ilvl w:val="0"/>
                <w:numId w:val="6"/>
              </w:numPr>
            </w:pPr>
            <w:r>
              <w:t>Road closure of Etheldene Avenue junction with Park Road N8</w:t>
            </w:r>
          </w:p>
          <w:p w14:paraId="4391295D" w14:textId="4925D546" w:rsidR="00616B1E" w:rsidRDefault="00616B1E" w:rsidP="00EA5D32">
            <w:pPr>
              <w:pStyle w:val="ListParagraph"/>
              <w:numPr>
                <w:ilvl w:val="0"/>
                <w:numId w:val="6"/>
              </w:numPr>
            </w:pPr>
            <w:r>
              <w:t xml:space="preserve">Suspension of parking outside numbers  </w:t>
            </w:r>
            <w:r w:rsidR="00EA5D32">
              <w:t xml:space="preserve"> 22 to 12 and 9 to 19 (inclusive)</w:t>
            </w:r>
          </w:p>
          <w:p w14:paraId="6F7DFFA3" w14:textId="77777777" w:rsidR="0043308C" w:rsidRPr="00EE690D" w:rsidRDefault="0043308C" w:rsidP="00D01990">
            <w:pPr>
              <w:jc w:val="center"/>
            </w:pPr>
            <w:r w:rsidRPr="00EE690D">
              <w:t xml:space="preserve">No parking/waiting/loading/unloading  </w:t>
            </w:r>
          </w:p>
        </w:tc>
      </w:tr>
    </w:tbl>
    <w:p w14:paraId="239BACDC" w14:textId="3A16FA9D" w:rsidR="0043308C" w:rsidRDefault="0043308C"/>
    <w:p w14:paraId="1E9919B3" w14:textId="727BB87F" w:rsidR="00A445B1" w:rsidRDefault="00A445B1"/>
    <w:p w14:paraId="0F61E37D" w14:textId="77777777" w:rsidR="00A445B1" w:rsidRDefault="00A445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4714AF" w:rsidRPr="00EE690D" w14:paraId="16B9A462" w14:textId="77777777" w:rsidTr="00486EF6">
        <w:tc>
          <w:tcPr>
            <w:tcW w:w="8528" w:type="dxa"/>
            <w:gridSpan w:val="2"/>
          </w:tcPr>
          <w:p w14:paraId="19C431DD" w14:textId="6243EEC5" w:rsidR="004714AF" w:rsidRPr="00EE690D" w:rsidRDefault="004714AF" w:rsidP="00486EF6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>Church Lane N17 TMO 199</w:t>
            </w:r>
          </w:p>
        </w:tc>
      </w:tr>
      <w:tr w:rsidR="004714AF" w:rsidRPr="00EE690D" w14:paraId="48E630C7" w14:textId="77777777" w:rsidTr="00486EF6">
        <w:tc>
          <w:tcPr>
            <w:tcW w:w="8528" w:type="dxa"/>
            <w:gridSpan w:val="2"/>
          </w:tcPr>
          <w:p w14:paraId="6AE406CF" w14:textId="64D66D78" w:rsidR="004714AF" w:rsidRPr="00EE690D" w:rsidRDefault="004714AF" w:rsidP="00486EF6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–   </w:t>
            </w:r>
            <w:r w:rsidR="00A445B1">
              <w:t>Repair of a leaking water main</w:t>
            </w:r>
          </w:p>
        </w:tc>
      </w:tr>
      <w:tr w:rsidR="004714AF" w:rsidRPr="00EE690D" w14:paraId="594ABD84" w14:textId="77777777" w:rsidTr="00486EF6">
        <w:tc>
          <w:tcPr>
            <w:tcW w:w="4264" w:type="dxa"/>
          </w:tcPr>
          <w:p w14:paraId="41EA2C9E" w14:textId="77777777" w:rsidR="004714AF" w:rsidRPr="00EE690D" w:rsidRDefault="004714AF" w:rsidP="00486EF6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4FBE7992" w14:textId="77777777" w:rsidR="004714AF" w:rsidRPr="00EE690D" w:rsidRDefault="004714AF" w:rsidP="00486EF6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4714AF" w:rsidRPr="006E2C11" w14:paraId="054B9548" w14:textId="77777777" w:rsidTr="00486EF6">
        <w:tc>
          <w:tcPr>
            <w:tcW w:w="4264" w:type="dxa"/>
          </w:tcPr>
          <w:p w14:paraId="235544E0" w14:textId="1FCBFAA3" w:rsidR="004714AF" w:rsidRPr="00A445B1" w:rsidRDefault="004714AF" w:rsidP="00486EF6">
            <w:pPr>
              <w:jc w:val="center"/>
            </w:pPr>
            <w:r w:rsidRPr="00A445B1">
              <w:t>Date:</w:t>
            </w:r>
            <w:r w:rsidR="00A445B1" w:rsidRPr="00A445B1">
              <w:t xml:space="preserve"> 25-01-22 to 27-01-22</w:t>
            </w:r>
          </w:p>
          <w:p w14:paraId="194009A3" w14:textId="39EA999E" w:rsidR="004714AF" w:rsidRPr="00EE690D" w:rsidRDefault="004714AF" w:rsidP="00486EF6">
            <w:pPr>
              <w:jc w:val="center"/>
            </w:pPr>
            <w:r w:rsidRPr="00A445B1">
              <w:t xml:space="preserve"> Time</w:t>
            </w:r>
            <w:r w:rsidR="00A445B1" w:rsidRPr="00A445B1">
              <w:t>: 24hrs</w:t>
            </w:r>
          </w:p>
        </w:tc>
        <w:tc>
          <w:tcPr>
            <w:tcW w:w="4264" w:type="dxa"/>
          </w:tcPr>
          <w:p w14:paraId="64951CF1" w14:textId="24AA5EC8" w:rsidR="00A445B1" w:rsidRDefault="00A445B1" w:rsidP="00A445B1">
            <w:r>
              <w:t xml:space="preserve">Suspension of parking from Lamp Column CL1B to opposite Lamp Column CL4B (inclusive) (Haringey Mortuary) </w:t>
            </w:r>
          </w:p>
          <w:p w14:paraId="4E0A898C" w14:textId="77777777" w:rsidR="004714AF" w:rsidRPr="00EE690D" w:rsidRDefault="004714AF" w:rsidP="00486EF6">
            <w:pPr>
              <w:jc w:val="center"/>
            </w:pPr>
            <w:r w:rsidRPr="00EE690D">
              <w:t xml:space="preserve">No parking/waiting/loading/unloading  </w:t>
            </w:r>
          </w:p>
        </w:tc>
      </w:tr>
    </w:tbl>
    <w:p w14:paraId="7A483A58" w14:textId="77777777" w:rsidR="0043308C" w:rsidRDefault="0043308C"/>
    <w:p w14:paraId="28840AD3" w14:textId="77777777" w:rsidR="00A62420" w:rsidRDefault="00CB7B37">
      <w:r>
        <w:t xml:space="preserve">The provisions of the Orders </w:t>
      </w:r>
      <w:r w:rsidR="00CA3BEB">
        <w:t xml:space="preserve">shall apply only at such times and as directed by traffic signs. </w:t>
      </w:r>
      <w:r w:rsidR="00A62420">
        <w:t>For road closures, a</w:t>
      </w:r>
      <w:r w:rsidR="00CA3BEB">
        <w:t>lternative routes will be directed by traffic signs. Access will be maintained where possible.</w:t>
      </w:r>
      <w:r w:rsidR="00A62420">
        <w:t xml:space="preserve"> For more information contact – 0208 489 1300 or visit our website at </w:t>
      </w:r>
      <w:hyperlink r:id="rId7" w:history="1">
        <w:r w:rsidR="00CD2CDF" w:rsidRPr="00032CDE">
          <w:rPr>
            <w:rStyle w:val="Hyperlink"/>
          </w:rPr>
          <w:t>www.haringey.gov.uk/traffic_orders</w:t>
        </w:r>
      </w:hyperlink>
    </w:p>
    <w:p w14:paraId="6CA00283" w14:textId="77777777" w:rsidR="00DF5725" w:rsidRDefault="00DF5725"/>
    <w:p w14:paraId="518D4ED4" w14:textId="13363488" w:rsidR="00DF5725" w:rsidRPr="00EE690D" w:rsidRDefault="00617ED5">
      <w:pPr>
        <w:rPr>
          <w:color w:val="000000" w:themeColor="text1"/>
        </w:rPr>
      </w:pPr>
      <w:r w:rsidRPr="00A445B1">
        <w:rPr>
          <w:color w:val="000000" w:themeColor="text1"/>
        </w:rPr>
        <w:t>Date:</w:t>
      </w:r>
      <w:r w:rsidR="00A445B1">
        <w:rPr>
          <w:color w:val="000000" w:themeColor="text1"/>
        </w:rPr>
        <w:t xml:space="preserve"> 12</w:t>
      </w:r>
      <w:r w:rsidR="00A445B1" w:rsidRPr="00A445B1">
        <w:rPr>
          <w:color w:val="000000" w:themeColor="text1"/>
          <w:vertAlign w:val="superscript"/>
        </w:rPr>
        <w:t>th</w:t>
      </w:r>
      <w:r w:rsidR="00A445B1">
        <w:rPr>
          <w:color w:val="000000" w:themeColor="text1"/>
        </w:rPr>
        <w:t xml:space="preserve"> January 2022</w:t>
      </w:r>
    </w:p>
    <w:p w14:paraId="351602F1" w14:textId="77777777" w:rsidR="00DF5725" w:rsidRDefault="00DF5725" w:rsidP="00DF5725">
      <w:pPr>
        <w:jc w:val="both"/>
      </w:pPr>
      <w:r w:rsidRPr="00385DE9">
        <w:t xml:space="preserve">Ann Cunningham, </w:t>
      </w:r>
    </w:p>
    <w:p w14:paraId="287BAEEB" w14:textId="77777777" w:rsidR="00DF5725" w:rsidRDefault="00DF5725" w:rsidP="00DF5725">
      <w:pPr>
        <w:jc w:val="both"/>
      </w:pPr>
      <w:r w:rsidRPr="00385DE9">
        <w:t>Traffic Management,</w:t>
      </w:r>
    </w:p>
    <w:sectPr w:rsidR="00DF5725" w:rsidSect="00CA3BEB">
      <w:head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DFEAB" w14:textId="77777777" w:rsidR="00A64861" w:rsidRDefault="00A64861">
      <w:r>
        <w:separator/>
      </w:r>
    </w:p>
  </w:endnote>
  <w:endnote w:type="continuationSeparator" w:id="0">
    <w:p w14:paraId="60CE4C25" w14:textId="77777777" w:rsidR="00A64861" w:rsidRDefault="00A64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23F45" w14:textId="77777777" w:rsidR="00A64861" w:rsidRDefault="00A64861">
      <w:r>
        <w:separator/>
      </w:r>
    </w:p>
  </w:footnote>
  <w:footnote w:type="continuationSeparator" w:id="0">
    <w:p w14:paraId="3BC37BDD" w14:textId="77777777" w:rsidR="00A64861" w:rsidRDefault="00A64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DF6D1" w14:textId="77777777" w:rsidR="00A64861" w:rsidRDefault="00A64861" w:rsidP="00344EC3">
    <w:pPr>
      <w:pStyle w:val="Header"/>
      <w:tabs>
        <w:tab w:val="clear" w:pos="8306"/>
        <w:tab w:val="right" w:pos="9000"/>
      </w:tabs>
      <w:ind w:left="-900"/>
    </w:pPr>
    <w:r w:rsidRPr="00FD6F32">
      <w:rPr>
        <w:sz w:val="96"/>
        <w:szCs w:val="96"/>
      </w:rPr>
      <w:t>Public Notice</w:t>
    </w:r>
    <w:r>
      <w:tab/>
    </w:r>
    <w:r>
      <w:rPr>
        <w:noProof/>
        <w:sz w:val="22"/>
        <w:szCs w:val="22"/>
      </w:rPr>
      <w:drawing>
        <wp:inline distT="0" distB="0" distL="0" distR="0" wp14:anchorId="7DA8C10D" wp14:editId="4E0310E6">
          <wp:extent cx="1625600" cy="629920"/>
          <wp:effectExtent l="19050" t="0" r="0" b="0"/>
          <wp:docPr id="1" name="Picture 7" descr="S:\ST\ST\Comm\CXPRLXG\office\documents\Brand Refresh\New Logos\Haringey Logos 2\Haringey Logo\Screen\JPG\BS1995_Haringey_TapeType_BLACK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:\ST\ST\Comm\CXPRLXG\office\documents\Brand Refresh\New Logos\Haringey Logos 2\Haringey Logo\Screen\JPG\BS1995_Haringey_TapeType_BLACK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29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827FA7" w14:textId="77777777" w:rsidR="00A64861" w:rsidRPr="00344EC3" w:rsidRDefault="00A64861" w:rsidP="00344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40D37"/>
    <w:multiLevelType w:val="hybridMultilevel"/>
    <w:tmpl w:val="C9208BD2"/>
    <w:lvl w:ilvl="0" w:tplc="DCDEF28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2B818E9"/>
    <w:multiLevelType w:val="hybridMultilevel"/>
    <w:tmpl w:val="EF402B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A5A20"/>
    <w:multiLevelType w:val="hybridMultilevel"/>
    <w:tmpl w:val="ECDAE9E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5154D"/>
    <w:multiLevelType w:val="hybridMultilevel"/>
    <w:tmpl w:val="0714C6E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1146B"/>
    <w:multiLevelType w:val="hybridMultilevel"/>
    <w:tmpl w:val="40020C28"/>
    <w:lvl w:ilvl="0" w:tplc="D3EA6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9DB3A9E"/>
    <w:multiLevelType w:val="hybridMultilevel"/>
    <w:tmpl w:val="A988672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46"/>
    <w:rsid w:val="00044A07"/>
    <w:rsid w:val="00064607"/>
    <w:rsid w:val="001770D4"/>
    <w:rsid w:val="001826C9"/>
    <w:rsid w:val="001C09F8"/>
    <w:rsid w:val="00215921"/>
    <w:rsid w:val="002C1FCE"/>
    <w:rsid w:val="002D764B"/>
    <w:rsid w:val="002E37A3"/>
    <w:rsid w:val="00306352"/>
    <w:rsid w:val="00344EC3"/>
    <w:rsid w:val="003D0D14"/>
    <w:rsid w:val="0043308C"/>
    <w:rsid w:val="004714AF"/>
    <w:rsid w:val="00491B89"/>
    <w:rsid w:val="004C1D46"/>
    <w:rsid w:val="004F39E3"/>
    <w:rsid w:val="00566184"/>
    <w:rsid w:val="00590855"/>
    <w:rsid w:val="005F3B35"/>
    <w:rsid w:val="00616B1E"/>
    <w:rsid w:val="00617ED5"/>
    <w:rsid w:val="006E2C11"/>
    <w:rsid w:val="006E6A2E"/>
    <w:rsid w:val="0070329F"/>
    <w:rsid w:val="0078628D"/>
    <w:rsid w:val="007944D2"/>
    <w:rsid w:val="00843D9E"/>
    <w:rsid w:val="00846156"/>
    <w:rsid w:val="008D68E5"/>
    <w:rsid w:val="00982A7F"/>
    <w:rsid w:val="00A445B1"/>
    <w:rsid w:val="00A56909"/>
    <w:rsid w:val="00A62420"/>
    <w:rsid w:val="00A64861"/>
    <w:rsid w:val="00A814AC"/>
    <w:rsid w:val="00AC44A7"/>
    <w:rsid w:val="00B1250F"/>
    <w:rsid w:val="00BF392B"/>
    <w:rsid w:val="00C979FF"/>
    <w:rsid w:val="00CA3BEB"/>
    <w:rsid w:val="00CB7B37"/>
    <w:rsid w:val="00CD2CDF"/>
    <w:rsid w:val="00D041D6"/>
    <w:rsid w:val="00D63B76"/>
    <w:rsid w:val="00DF5725"/>
    <w:rsid w:val="00EA0252"/>
    <w:rsid w:val="00EA5D32"/>
    <w:rsid w:val="00EB1E2A"/>
    <w:rsid w:val="00EE06E9"/>
    <w:rsid w:val="00EE690D"/>
    <w:rsid w:val="00F11024"/>
    <w:rsid w:val="00F8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646788"/>
  <w15:docId w15:val="{938AF4A9-2B00-4881-94EE-3C740F94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1FCE"/>
    <w:rPr>
      <w:rFonts w:ascii="Arial" w:hAnsi="Arial"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1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C1D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C1D46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A6242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F5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5725"/>
    <w:rPr>
      <w:rFonts w:ascii="Tahoma" w:hAnsi="Tahoma" w:cs="Tahoma"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C97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aringey.gov.uk/traffic_ord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310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 TRAFFIC REGULATION ACT 1984 – SECTION 14(1)</vt:lpstr>
    </vt:vector>
  </TitlesOfParts>
  <Company>London Borough of Haringey</Company>
  <LinksUpToDate>false</LinksUpToDate>
  <CharactersWithSpaces>2176</CharactersWithSpaces>
  <SharedDoc>false</SharedDoc>
  <HLinks>
    <vt:vector size="6" baseType="variant">
      <vt:variant>
        <vt:i4>5701688</vt:i4>
      </vt:variant>
      <vt:variant>
        <vt:i4>0</vt:i4>
      </vt:variant>
      <vt:variant>
        <vt:i4>0</vt:i4>
      </vt:variant>
      <vt:variant>
        <vt:i4>5</vt:i4>
      </vt:variant>
      <vt:variant>
        <vt:lpwstr>http://www.haringey.gov.uk/traffic_orders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TRAFFIC REGULATION ACT 1984 – SECTION 14(1)</dc:title>
  <dc:creator>ENTRNHS</dc:creator>
  <cp:lastModifiedBy>McGilvery Alicia</cp:lastModifiedBy>
  <cp:revision>14</cp:revision>
  <dcterms:created xsi:type="dcterms:W3CDTF">2018-05-21T17:24:00Z</dcterms:created>
  <dcterms:modified xsi:type="dcterms:W3CDTF">2022-01-07T22:03:00Z</dcterms:modified>
</cp:coreProperties>
</file>