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D869" w14:textId="2C7671E7" w:rsidR="00937F9E" w:rsidRPr="00937F9E" w:rsidRDefault="00937F9E" w:rsidP="00937F9E">
      <w:pPr>
        <w:jc w:val="center"/>
        <w:rPr>
          <w:rFonts w:ascii="HelveticaNeueLT Std Blk" w:eastAsiaTheme="minorEastAsia" w:hAnsi="HelveticaNeueLT Std Blk"/>
          <w:b/>
          <w:sz w:val="28"/>
          <w:szCs w:val="28"/>
        </w:rPr>
      </w:pPr>
      <w:bookmarkStart w:id="0" w:name="_Toc232227677"/>
      <w:r w:rsidRPr="00937F9E">
        <w:rPr>
          <w:rFonts w:ascii="HelveticaNeueLT Std Blk" w:eastAsiaTheme="minorEastAsia" w:hAnsi="HelveticaNeueLT Std Blk"/>
          <w:b/>
          <w:sz w:val="28"/>
          <w:szCs w:val="28"/>
          <w:lang w:eastAsia="en-US"/>
        </w:rPr>
        <w:t>Freedom of</w:t>
      </w:r>
      <w:r w:rsidR="00251184">
        <w:rPr>
          <w:rFonts w:ascii="HelveticaNeueLT Std Blk" w:eastAsiaTheme="minorEastAsia" w:hAnsi="HelveticaNeueLT Std Blk"/>
          <w:b/>
          <w:sz w:val="28"/>
          <w:szCs w:val="28"/>
          <w:lang w:eastAsia="en-US"/>
        </w:rPr>
        <w:t xml:space="preserve"> Information Act Annual Report 201</w:t>
      </w:r>
      <w:r w:rsidR="0011593D">
        <w:rPr>
          <w:rFonts w:ascii="HelveticaNeueLT Std Blk" w:eastAsiaTheme="minorEastAsia" w:hAnsi="HelveticaNeueLT Std Blk"/>
          <w:b/>
          <w:sz w:val="28"/>
          <w:szCs w:val="28"/>
          <w:lang w:eastAsia="en-US"/>
        </w:rPr>
        <w:t>8</w:t>
      </w:r>
      <w:r w:rsidR="00251184">
        <w:rPr>
          <w:rFonts w:ascii="HelveticaNeueLT Std Blk" w:eastAsiaTheme="minorEastAsia" w:hAnsi="HelveticaNeueLT Std Blk"/>
          <w:b/>
          <w:sz w:val="28"/>
          <w:szCs w:val="28"/>
          <w:lang w:eastAsia="en-US"/>
        </w:rPr>
        <w:t>-201</w:t>
      </w:r>
      <w:r w:rsidR="0011593D">
        <w:rPr>
          <w:rFonts w:ascii="HelveticaNeueLT Std Blk" w:eastAsiaTheme="minorEastAsia" w:hAnsi="HelveticaNeueLT Std Blk"/>
          <w:b/>
          <w:sz w:val="28"/>
          <w:szCs w:val="28"/>
          <w:lang w:eastAsia="en-US"/>
        </w:rPr>
        <w:t>9</w:t>
      </w:r>
      <w:r w:rsidR="00251184">
        <w:rPr>
          <w:rFonts w:ascii="HelveticaNeueLT Std Blk" w:eastAsiaTheme="minorEastAsia" w:hAnsi="HelveticaNeueLT Std Blk"/>
          <w:b/>
          <w:sz w:val="28"/>
          <w:szCs w:val="28"/>
          <w:lang w:eastAsia="en-US"/>
        </w:rPr>
        <w:t xml:space="preserve"> </w:t>
      </w:r>
    </w:p>
    <w:bookmarkEnd w:id="0"/>
    <w:p w14:paraId="41D0AAFB" w14:textId="0F1410D8" w:rsidR="008455BD" w:rsidRPr="00937F9E" w:rsidRDefault="008455BD" w:rsidP="00937F9E">
      <w:pPr>
        <w:rPr>
          <w:rFonts w:ascii="HelveticaNeueLT Std" w:eastAsiaTheme="minorEastAsia" w:hAnsi="HelveticaNeueLT Std"/>
          <w:b/>
          <w:sz w:val="22"/>
          <w:szCs w:val="22"/>
        </w:rPr>
      </w:pPr>
    </w:p>
    <w:p w14:paraId="069B3818" w14:textId="77777777" w:rsidR="008455BD" w:rsidRDefault="008455BD" w:rsidP="00D53EF9">
      <w:pPr>
        <w:ind w:left="2160" w:hanging="2160"/>
        <w:rPr>
          <w:rFonts w:ascii="HelveticaNeueLT Std" w:eastAsiaTheme="minorEastAsia" w:hAnsi="HelveticaNeueLT Std"/>
          <w:b/>
          <w:sz w:val="22"/>
          <w:szCs w:val="22"/>
        </w:rPr>
      </w:pPr>
    </w:p>
    <w:p w14:paraId="184BB2CF" w14:textId="6C0B3D33" w:rsidR="00EC66AC" w:rsidRPr="00EC66AC" w:rsidRDefault="00EC66AC" w:rsidP="00EC66A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NeueLT Std Blk" w:eastAsiaTheme="minorEastAsia" w:hAnsi="HelveticaNeueLT Std Blk" w:cs="Arial"/>
          <w:b/>
          <w:color w:val="000000"/>
          <w:sz w:val="22"/>
          <w:szCs w:val="22"/>
        </w:rPr>
      </w:pPr>
      <w:r w:rsidRPr="00EC66AC">
        <w:rPr>
          <w:rFonts w:ascii="HelveticaNeueLT Std Blk" w:eastAsiaTheme="minorEastAsia" w:hAnsi="HelveticaNeueLT Std Blk" w:cs="Arial"/>
          <w:b/>
          <w:color w:val="000000"/>
          <w:sz w:val="22"/>
          <w:szCs w:val="22"/>
        </w:rPr>
        <w:tab/>
      </w:r>
      <w:r w:rsidR="008455BD">
        <w:rPr>
          <w:rFonts w:ascii="HelveticaNeueLT Std Blk" w:eastAsiaTheme="minorEastAsia" w:hAnsi="HelveticaNeueLT Std Blk" w:cs="Arial"/>
          <w:b/>
          <w:color w:val="000000"/>
          <w:sz w:val="22"/>
          <w:szCs w:val="22"/>
        </w:rPr>
        <w:t xml:space="preserve">Summary </w:t>
      </w:r>
    </w:p>
    <w:p w14:paraId="6BF7F771" w14:textId="77777777" w:rsidR="00EC66AC" w:rsidRPr="00EC66AC" w:rsidRDefault="00EC66AC" w:rsidP="00EC66A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Arial"/>
          <w:sz w:val="22"/>
          <w:szCs w:val="22"/>
        </w:rPr>
      </w:pPr>
      <w:r w:rsidRPr="00EC66AC">
        <w:rPr>
          <w:rFonts w:ascii="HelveticaNeueLT Std" w:hAnsi="HelveticaNeueLT Std" w:cs="Arial"/>
          <w:sz w:val="22"/>
          <w:szCs w:val="22"/>
        </w:rPr>
        <w:t>The Freedom of Information (FOI) Act was introduced in 2005 with its purpose being to make authorities and public bodies more open and transparent with the information they hold.</w:t>
      </w:r>
    </w:p>
    <w:p w14:paraId="22DC91C1" w14:textId="77777777" w:rsidR="00EC66AC" w:rsidRPr="00EC66AC" w:rsidRDefault="00EC66AC" w:rsidP="00EC66A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Arial"/>
          <w:sz w:val="22"/>
          <w:szCs w:val="22"/>
        </w:rPr>
      </w:pPr>
      <w:r w:rsidRPr="00EC66AC">
        <w:rPr>
          <w:rFonts w:ascii="HelveticaNeueLT Std" w:hAnsi="HelveticaNeueLT Std"/>
          <w:sz w:val="22"/>
          <w:szCs w:val="22"/>
        </w:rPr>
        <w:t>The FOI Act and the Environmental Information Regulations (EIR) are very similar and are dealt with through the same process.</w:t>
      </w:r>
      <w:r w:rsidRPr="00EC66AC" w:rsidDel="00C35B62">
        <w:rPr>
          <w:rFonts w:ascii="HelveticaNeueLT Std" w:hAnsi="HelveticaNeueLT Std"/>
          <w:sz w:val="22"/>
          <w:szCs w:val="22"/>
        </w:rPr>
        <w:t xml:space="preserve"> </w:t>
      </w:r>
      <w:r w:rsidRPr="00EC66AC">
        <w:rPr>
          <w:rFonts w:ascii="HelveticaNeueLT Std" w:hAnsi="HelveticaNeueLT Std"/>
          <w:sz w:val="22"/>
          <w:szCs w:val="22"/>
        </w:rPr>
        <w:t>The figures given below are for both FOI and EIR requests.</w:t>
      </w:r>
    </w:p>
    <w:p w14:paraId="02D05B94" w14:textId="77777777" w:rsidR="00EC66AC" w:rsidRPr="00EC66AC" w:rsidRDefault="00EC66AC" w:rsidP="00EC66A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Arial"/>
          <w:sz w:val="22"/>
          <w:szCs w:val="22"/>
        </w:rPr>
      </w:pPr>
      <w:r w:rsidRPr="00EC66AC">
        <w:rPr>
          <w:rFonts w:ascii="HelveticaNeueLT Std" w:hAnsi="HelveticaNeueLT Std" w:cs="Arial"/>
          <w:sz w:val="22"/>
          <w:szCs w:val="22"/>
        </w:rPr>
        <w:t xml:space="preserve">Public Authorities should respond to FOI / EIR requests within 20 working days from the date the request was received.  </w:t>
      </w:r>
    </w:p>
    <w:p w14:paraId="0E55F4AA" w14:textId="77777777" w:rsidR="00EC66AC" w:rsidRPr="00EC66AC" w:rsidRDefault="00EC66AC" w:rsidP="00EC66A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Arial"/>
          <w:sz w:val="22"/>
          <w:szCs w:val="22"/>
        </w:rPr>
      </w:pPr>
      <w:r w:rsidRPr="00EC66AC">
        <w:rPr>
          <w:rFonts w:ascii="HelveticaNeueLT Std" w:hAnsi="HelveticaNeueLT Std" w:cs="Arial"/>
          <w:sz w:val="22"/>
          <w:szCs w:val="22"/>
        </w:rPr>
        <w:t>All requests must be received in writing and Haringey has a dedicated online form and email address for this.</w:t>
      </w:r>
    </w:p>
    <w:p w14:paraId="6828721A" w14:textId="68310BA7" w:rsidR="00EC66AC" w:rsidRPr="00EC66AC" w:rsidRDefault="00EC66AC" w:rsidP="00EC66A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Arial"/>
          <w:sz w:val="22"/>
          <w:szCs w:val="22"/>
        </w:rPr>
      </w:pPr>
      <w:r w:rsidRPr="00EC66AC">
        <w:rPr>
          <w:rFonts w:ascii="HelveticaNeueLT Std" w:hAnsi="HelveticaNeueLT Std" w:cs="Arial"/>
          <w:sz w:val="22"/>
          <w:szCs w:val="22"/>
        </w:rPr>
        <w:t xml:space="preserve">In line with best practice, Haringey has been proactively publishing more data and information </w:t>
      </w:r>
      <w:proofErr w:type="gramStart"/>
      <w:r w:rsidRPr="00EC66AC">
        <w:rPr>
          <w:rFonts w:ascii="HelveticaNeueLT Std" w:hAnsi="HelveticaNeueLT Std" w:cs="Arial"/>
          <w:sz w:val="22"/>
          <w:szCs w:val="22"/>
        </w:rPr>
        <w:t>on line</w:t>
      </w:r>
      <w:proofErr w:type="gramEnd"/>
      <w:r w:rsidRPr="00EC66AC">
        <w:rPr>
          <w:rFonts w:ascii="HelveticaNeueLT Std" w:hAnsi="HelveticaNeueLT Std" w:cs="Arial"/>
          <w:sz w:val="22"/>
          <w:szCs w:val="22"/>
        </w:rPr>
        <w:t xml:space="preserve"> and</w:t>
      </w:r>
      <w:r w:rsidR="00251184">
        <w:rPr>
          <w:rFonts w:ascii="HelveticaNeueLT Std" w:hAnsi="HelveticaNeueLT Std" w:cs="Arial"/>
          <w:sz w:val="22"/>
          <w:szCs w:val="22"/>
        </w:rPr>
        <w:t xml:space="preserve"> has </w:t>
      </w:r>
      <w:r w:rsidRPr="00EC66AC">
        <w:rPr>
          <w:rFonts w:ascii="HelveticaNeueLT Std" w:hAnsi="HelveticaNeueLT Std" w:cs="Arial"/>
          <w:sz w:val="22"/>
          <w:szCs w:val="22"/>
        </w:rPr>
        <w:t xml:space="preserve">a disclosure </w:t>
      </w:r>
      <w:r w:rsidR="005F1FB2" w:rsidRPr="00EC66AC">
        <w:rPr>
          <w:rFonts w:ascii="HelveticaNeueLT Std" w:hAnsi="HelveticaNeueLT Std" w:cs="Arial"/>
          <w:sz w:val="22"/>
          <w:szCs w:val="22"/>
        </w:rPr>
        <w:t>log, which shows all requests</w:t>
      </w:r>
      <w:r w:rsidRPr="00EC66AC">
        <w:rPr>
          <w:rFonts w:ascii="HelveticaNeueLT Std" w:hAnsi="HelveticaNeueLT Std" w:cs="Arial"/>
          <w:sz w:val="22"/>
          <w:szCs w:val="22"/>
        </w:rPr>
        <w:t xml:space="preserve"> received and responses issued. </w:t>
      </w:r>
    </w:p>
    <w:p w14:paraId="3E1CB6E5" w14:textId="77777777" w:rsidR="00EC66AC" w:rsidRPr="00EC66AC" w:rsidRDefault="00EC66AC" w:rsidP="00EC66AC">
      <w:pPr>
        <w:pStyle w:val="ListParagraph"/>
        <w:rPr>
          <w:rFonts w:ascii="HelveticaNeueLT Std" w:hAnsi="HelveticaNeueLT Std"/>
          <w:sz w:val="22"/>
          <w:szCs w:val="22"/>
        </w:rPr>
      </w:pPr>
    </w:p>
    <w:p w14:paraId="4F1F722C" w14:textId="77777777" w:rsidR="00A00174" w:rsidRPr="00EC66AC" w:rsidRDefault="00A00174" w:rsidP="00A00174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HelveticaNeueLT Std Blk" w:hAnsi="HelveticaNeueLT Std Blk" w:cs="Arial"/>
          <w:b/>
          <w:sz w:val="22"/>
          <w:szCs w:val="22"/>
        </w:rPr>
      </w:pPr>
      <w:r w:rsidRPr="00EC66AC">
        <w:rPr>
          <w:rFonts w:ascii="HelveticaNeueLT Std Blk" w:hAnsi="HelveticaNeueLT Std Blk" w:cs="Arial"/>
          <w:b/>
          <w:sz w:val="22"/>
          <w:szCs w:val="22"/>
        </w:rPr>
        <w:t>Breakdown of Performance Information</w:t>
      </w:r>
    </w:p>
    <w:p w14:paraId="046BE39F" w14:textId="77777777" w:rsidR="00A00174" w:rsidRPr="00EC66AC" w:rsidRDefault="00A00174" w:rsidP="00A00174">
      <w:pPr>
        <w:pStyle w:val="ListParagraph"/>
        <w:spacing w:after="200" w:line="276" w:lineRule="auto"/>
        <w:jc w:val="both"/>
        <w:rPr>
          <w:rFonts w:ascii="HelveticaNeueLT Std" w:hAnsi="HelveticaNeueLT Std" w:cs="Arial"/>
          <w:sz w:val="22"/>
          <w:szCs w:val="22"/>
        </w:rPr>
      </w:pPr>
    </w:p>
    <w:p w14:paraId="3A07F1E0" w14:textId="766CF834" w:rsidR="00762319" w:rsidRPr="00EC66AC" w:rsidRDefault="00D15440" w:rsidP="00DF4ADA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Helvetica"/>
          <w:color w:val="FF0000"/>
          <w:sz w:val="22"/>
          <w:szCs w:val="22"/>
        </w:rPr>
      </w:pPr>
      <w:r w:rsidRPr="00EC66AC">
        <w:rPr>
          <w:rFonts w:ascii="HelveticaNeueLT Std" w:hAnsi="HelveticaNeueLT Std"/>
          <w:sz w:val="22"/>
          <w:szCs w:val="22"/>
        </w:rPr>
        <w:t>Between April 201</w:t>
      </w:r>
      <w:r w:rsidR="0011593D">
        <w:rPr>
          <w:rFonts w:ascii="HelveticaNeueLT Std" w:hAnsi="HelveticaNeueLT Std"/>
          <w:sz w:val="22"/>
          <w:szCs w:val="22"/>
        </w:rPr>
        <w:t>8</w:t>
      </w:r>
      <w:r w:rsidRPr="00EC66AC">
        <w:rPr>
          <w:rFonts w:ascii="HelveticaNeueLT Std" w:hAnsi="HelveticaNeueLT Std"/>
          <w:sz w:val="22"/>
          <w:szCs w:val="22"/>
        </w:rPr>
        <w:t xml:space="preserve"> and March 201</w:t>
      </w:r>
      <w:r w:rsidR="0011593D">
        <w:rPr>
          <w:rFonts w:ascii="HelveticaNeueLT Std" w:hAnsi="HelveticaNeueLT Std"/>
          <w:sz w:val="22"/>
          <w:szCs w:val="22"/>
        </w:rPr>
        <w:t>9</w:t>
      </w:r>
      <w:r w:rsidRPr="00EC66AC">
        <w:rPr>
          <w:rFonts w:ascii="HelveticaNeueLT Std" w:hAnsi="HelveticaNeueLT Std"/>
          <w:sz w:val="22"/>
          <w:szCs w:val="22"/>
        </w:rPr>
        <w:t xml:space="preserve"> </w:t>
      </w:r>
      <w:r w:rsidR="00DF4ADA" w:rsidRPr="00EC66AC">
        <w:rPr>
          <w:rFonts w:ascii="HelveticaNeueLT Std" w:hAnsi="HelveticaNeueLT Std"/>
          <w:sz w:val="22"/>
          <w:szCs w:val="22"/>
        </w:rPr>
        <w:t>Haringey</w:t>
      </w:r>
      <w:r w:rsidRPr="00EC66AC">
        <w:rPr>
          <w:rFonts w:ascii="HelveticaNeueLT Std" w:hAnsi="HelveticaNeueLT Std"/>
          <w:sz w:val="22"/>
          <w:szCs w:val="22"/>
        </w:rPr>
        <w:t xml:space="preserve"> responded to a total of 1</w:t>
      </w:r>
      <w:r w:rsidR="0011593D">
        <w:rPr>
          <w:rFonts w:ascii="HelveticaNeueLT Std" w:hAnsi="HelveticaNeueLT Std"/>
          <w:sz w:val="22"/>
          <w:szCs w:val="22"/>
        </w:rPr>
        <w:t>433</w:t>
      </w:r>
      <w:r w:rsidR="000D2280" w:rsidRPr="00EC66AC">
        <w:rPr>
          <w:rFonts w:ascii="HelveticaNeueLT Std" w:hAnsi="HelveticaNeueLT Std"/>
          <w:sz w:val="22"/>
          <w:szCs w:val="22"/>
        </w:rPr>
        <w:t xml:space="preserve"> </w:t>
      </w:r>
      <w:r w:rsidRPr="00EC66AC">
        <w:rPr>
          <w:rFonts w:ascii="HelveticaNeueLT Std" w:hAnsi="HelveticaNeueLT Std"/>
          <w:sz w:val="22"/>
          <w:szCs w:val="22"/>
        </w:rPr>
        <w:t>requests, a</w:t>
      </w:r>
      <w:r w:rsidR="0011593D">
        <w:rPr>
          <w:rFonts w:ascii="HelveticaNeueLT Std" w:hAnsi="HelveticaNeueLT Std"/>
          <w:sz w:val="22"/>
          <w:szCs w:val="22"/>
        </w:rPr>
        <w:t xml:space="preserve">n increase </w:t>
      </w:r>
      <w:r w:rsidR="000078FD" w:rsidRPr="00EC66AC">
        <w:rPr>
          <w:rFonts w:ascii="HelveticaNeueLT Std" w:hAnsi="HelveticaNeueLT Std"/>
          <w:sz w:val="22"/>
          <w:szCs w:val="22"/>
        </w:rPr>
        <w:t xml:space="preserve">from </w:t>
      </w:r>
      <w:r w:rsidRPr="00EC66AC">
        <w:rPr>
          <w:rFonts w:ascii="HelveticaNeueLT Std" w:hAnsi="HelveticaNeueLT Std"/>
          <w:sz w:val="22"/>
          <w:szCs w:val="22"/>
        </w:rPr>
        <w:t xml:space="preserve">the previous year.  </w:t>
      </w:r>
      <w:r w:rsidR="004C2372" w:rsidRPr="00EC66AC">
        <w:rPr>
          <w:rFonts w:ascii="HelveticaNeueLT Std" w:hAnsi="HelveticaNeueLT Std"/>
          <w:sz w:val="22"/>
          <w:szCs w:val="22"/>
        </w:rPr>
        <w:t>8</w:t>
      </w:r>
      <w:r w:rsidR="0011593D">
        <w:rPr>
          <w:rFonts w:ascii="HelveticaNeueLT Std" w:hAnsi="HelveticaNeueLT Std"/>
          <w:sz w:val="22"/>
          <w:szCs w:val="22"/>
        </w:rPr>
        <w:t>2</w:t>
      </w:r>
      <w:r w:rsidRPr="00EC66AC">
        <w:rPr>
          <w:rFonts w:ascii="HelveticaNeueLT Std" w:hAnsi="HelveticaNeueLT Std"/>
          <w:sz w:val="22"/>
          <w:szCs w:val="22"/>
        </w:rPr>
        <w:t xml:space="preserve">% of responses were sent within 20 days. The </w:t>
      </w:r>
      <w:r w:rsidR="00DF4ADA" w:rsidRPr="00EC66AC">
        <w:rPr>
          <w:rFonts w:ascii="HelveticaNeueLT Std" w:hAnsi="HelveticaNeueLT Std"/>
          <w:sz w:val="22"/>
          <w:szCs w:val="22"/>
        </w:rPr>
        <w:t xml:space="preserve">following </w:t>
      </w:r>
      <w:r w:rsidRPr="00EC66AC">
        <w:rPr>
          <w:rFonts w:ascii="HelveticaNeueLT Std" w:hAnsi="HelveticaNeueLT Std"/>
          <w:sz w:val="22"/>
          <w:szCs w:val="22"/>
        </w:rPr>
        <w:t xml:space="preserve">table </w:t>
      </w:r>
      <w:r w:rsidR="00DF4ADA" w:rsidRPr="00EC66AC">
        <w:rPr>
          <w:rFonts w:ascii="HelveticaNeueLT Std" w:hAnsi="HelveticaNeueLT Std"/>
          <w:sz w:val="22"/>
          <w:szCs w:val="22"/>
        </w:rPr>
        <w:t>shows the performance across the past 5 years.</w:t>
      </w:r>
      <w:r w:rsidR="00DF4ADA" w:rsidRPr="00EC66AC">
        <w:rPr>
          <w:rFonts w:ascii="HelveticaNeueLT Std" w:hAnsi="HelveticaNeueLT Std" w:cs="Helvetica"/>
          <w:color w:val="FF0000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3695"/>
        <w:gridCol w:w="3464"/>
      </w:tblGrid>
      <w:tr w:rsidR="00DF4ADA" w:rsidRPr="00EC66AC" w14:paraId="109A999E" w14:textId="77777777" w:rsidTr="00DF4ADA">
        <w:tc>
          <w:tcPr>
            <w:tcW w:w="1282" w:type="pct"/>
            <w:shd w:val="clear" w:color="auto" w:fill="000000" w:themeFill="text1"/>
          </w:tcPr>
          <w:p w14:paraId="5DD6F12B" w14:textId="77777777" w:rsidR="00D15440" w:rsidRPr="00EC66AC" w:rsidRDefault="00D15440" w:rsidP="00DF4ADA">
            <w:pPr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1919" w:type="pct"/>
            <w:shd w:val="clear" w:color="auto" w:fill="000000" w:themeFill="text1"/>
          </w:tcPr>
          <w:p w14:paraId="19EEF3D0" w14:textId="77777777" w:rsidR="00D15440" w:rsidRPr="00EC66AC" w:rsidRDefault="00D15440" w:rsidP="00ED13D1">
            <w:pPr>
              <w:jc w:val="right"/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No. of requests</w:t>
            </w:r>
          </w:p>
        </w:tc>
        <w:tc>
          <w:tcPr>
            <w:tcW w:w="1799" w:type="pct"/>
            <w:shd w:val="clear" w:color="auto" w:fill="000000" w:themeFill="text1"/>
          </w:tcPr>
          <w:p w14:paraId="7F0C2955" w14:textId="77777777" w:rsidR="00D15440" w:rsidRPr="00EC66AC" w:rsidRDefault="00D15440" w:rsidP="00ED13D1">
            <w:pPr>
              <w:jc w:val="right"/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% on time</w:t>
            </w:r>
          </w:p>
        </w:tc>
      </w:tr>
      <w:tr w:rsidR="00251184" w:rsidRPr="00EC66AC" w14:paraId="5A271D17" w14:textId="77777777" w:rsidTr="00DF4ADA">
        <w:trPr>
          <w:trHeight w:val="283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3487607F" w14:textId="5FF69048" w:rsidR="00251184" w:rsidRPr="00EC66AC" w:rsidRDefault="0011593D" w:rsidP="00DF4ADA">
            <w:pPr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/>
                <w:sz w:val="22"/>
                <w:szCs w:val="22"/>
              </w:rPr>
              <w:t>2018-</w:t>
            </w:r>
            <w:r w:rsidR="00083343">
              <w:rPr>
                <w:rFonts w:ascii="HelveticaNeueLT Std" w:hAnsi="HelveticaNeueLT Std"/>
                <w:color w:val="000000"/>
                <w:sz w:val="22"/>
                <w:szCs w:val="22"/>
              </w:rPr>
              <w:t>20</w:t>
            </w:r>
            <w:r>
              <w:rPr>
                <w:rFonts w:ascii="HelveticaNeueLT Std" w:hAnsi="HelveticaNeueLT St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shd w:val="clear" w:color="auto" w:fill="auto"/>
          </w:tcPr>
          <w:p w14:paraId="488DB0E4" w14:textId="2370756B" w:rsidR="00251184" w:rsidRPr="00EC66AC" w:rsidRDefault="0011593D" w:rsidP="00ED13D1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/>
                <w:sz w:val="22"/>
                <w:szCs w:val="22"/>
              </w:rPr>
              <w:t>143</w:t>
            </w:r>
            <w:r w:rsidR="00083343">
              <w:rPr>
                <w:rFonts w:ascii="HelveticaNeueLT Std" w:hAnsi="HelveticaNeueLT St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14:paraId="7EC802FA" w14:textId="4252E80B" w:rsidR="00251184" w:rsidRPr="00EC66AC" w:rsidRDefault="0011593D" w:rsidP="00ED13D1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/>
                <w:sz w:val="22"/>
                <w:szCs w:val="22"/>
              </w:rPr>
              <w:t>82%</w:t>
            </w:r>
          </w:p>
        </w:tc>
      </w:tr>
      <w:tr w:rsidR="0011593D" w:rsidRPr="00EC66AC" w14:paraId="4403CD8D" w14:textId="77777777" w:rsidTr="005461F8">
        <w:trPr>
          <w:trHeight w:val="283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181232BD" w14:textId="4AE23286" w:rsidR="0011593D" w:rsidRPr="00EC66AC" w:rsidRDefault="0011593D" w:rsidP="0011593D">
            <w:pPr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/>
                <w:sz w:val="22"/>
                <w:szCs w:val="22"/>
              </w:rPr>
              <w:t xml:space="preserve">2017-2018 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shd w:val="clear" w:color="auto" w:fill="auto"/>
          </w:tcPr>
          <w:p w14:paraId="0D3141D3" w14:textId="62B91F69" w:rsidR="0011593D" w:rsidRPr="00EC66AC" w:rsidRDefault="0011593D" w:rsidP="0011593D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14:paraId="35B6E1DE" w14:textId="72F6EC16" w:rsidR="0011593D" w:rsidRPr="00EC66AC" w:rsidRDefault="0011593D" w:rsidP="0011593D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/>
                <w:sz w:val="22"/>
                <w:szCs w:val="22"/>
              </w:rPr>
              <w:t>83%</w:t>
            </w:r>
          </w:p>
        </w:tc>
      </w:tr>
      <w:tr w:rsidR="0011593D" w:rsidRPr="00EC66AC" w14:paraId="11775653" w14:textId="77777777" w:rsidTr="00DF4ADA">
        <w:trPr>
          <w:trHeight w:val="283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62EF94C1" w14:textId="05CC0C3F" w:rsidR="0011593D" w:rsidRPr="00EC66AC" w:rsidRDefault="0011593D" w:rsidP="0011593D">
            <w:pPr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shd w:val="clear" w:color="auto" w:fill="auto"/>
          </w:tcPr>
          <w:p w14:paraId="1C2AA0A8" w14:textId="7FFE70EC" w:rsidR="0011593D" w:rsidRPr="00EC66AC" w:rsidRDefault="0011593D" w:rsidP="0011593D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14:paraId="2A622021" w14:textId="5F3F1C19" w:rsidR="0011593D" w:rsidRPr="00EC66AC" w:rsidRDefault="0011593D" w:rsidP="0011593D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color w:val="000000"/>
                <w:sz w:val="22"/>
                <w:szCs w:val="22"/>
              </w:rPr>
              <w:t>87%</w:t>
            </w:r>
          </w:p>
        </w:tc>
      </w:tr>
      <w:tr w:rsidR="0011593D" w:rsidRPr="00EC66AC" w14:paraId="45642FE0" w14:textId="77777777" w:rsidTr="004A7925">
        <w:trPr>
          <w:trHeight w:val="283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2A377ACE" w14:textId="1325C96B" w:rsidR="0011593D" w:rsidRPr="00EC66AC" w:rsidRDefault="0011593D" w:rsidP="0011593D">
            <w:pPr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shd w:val="clear" w:color="auto" w:fill="auto"/>
          </w:tcPr>
          <w:p w14:paraId="2D6F03B5" w14:textId="2BACDBA6" w:rsidR="0011593D" w:rsidRPr="00EC66AC" w:rsidRDefault="0011593D" w:rsidP="0011593D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14:paraId="16EE0C8D" w14:textId="2173379D" w:rsidR="0011593D" w:rsidRPr="00EC66AC" w:rsidRDefault="0011593D" w:rsidP="0011593D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color w:val="000000"/>
                <w:sz w:val="22"/>
                <w:szCs w:val="22"/>
              </w:rPr>
              <w:t>89%</w:t>
            </w:r>
          </w:p>
        </w:tc>
      </w:tr>
      <w:tr w:rsidR="0011593D" w:rsidRPr="00EC66AC" w14:paraId="05AED4C8" w14:textId="77777777" w:rsidTr="00DF4ADA">
        <w:trPr>
          <w:trHeight w:val="283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FFFFFF"/>
          </w:tcPr>
          <w:p w14:paraId="2F8D7620" w14:textId="5C294060" w:rsidR="0011593D" w:rsidRPr="00EC66AC" w:rsidRDefault="0011593D" w:rsidP="0011593D">
            <w:pPr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shd w:val="clear" w:color="auto" w:fill="FFFFFF"/>
          </w:tcPr>
          <w:p w14:paraId="60F9639E" w14:textId="35978183" w:rsidR="0011593D" w:rsidRPr="00EC66AC" w:rsidRDefault="0011593D" w:rsidP="0011593D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FFFFFF"/>
          </w:tcPr>
          <w:p w14:paraId="5A6F94DD" w14:textId="105041E1" w:rsidR="0011593D" w:rsidRPr="00EC66AC" w:rsidRDefault="0011593D" w:rsidP="0011593D">
            <w:pPr>
              <w:jc w:val="right"/>
              <w:rPr>
                <w:rFonts w:ascii="HelveticaNeueLT Std" w:hAnsi="HelveticaNeueLT Std"/>
                <w:color w:val="000000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color w:val="000000"/>
                <w:sz w:val="22"/>
                <w:szCs w:val="22"/>
              </w:rPr>
              <w:t>91%</w:t>
            </w:r>
          </w:p>
        </w:tc>
      </w:tr>
    </w:tbl>
    <w:p w14:paraId="7B73A64F" w14:textId="77777777" w:rsidR="00D15440" w:rsidRPr="00EC66AC" w:rsidRDefault="00D15440" w:rsidP="00D15440">
      <w:pPr>
        <w:ind w:left="720"/>
        <w:rPr>
          <w:rFonts w:ascii="HelveticaNeueLT Std" w:hAnsi="HelveticaNeueLT Std"/>
          <w:sz w:val="22"/>
          <w:szCs w:val="22"/>
        </w:rPr>
      </w:pPr>
    </w:p>
    <w:p w14:paraId="1EC02667" w14:textId="20998C33" w:rsidR="00DF4ADA" w:rsidRPr="00EC66AC" w:rsidRDefault="00DF4ADA" w:rsidP="00DF4ADA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/>
          <w:sz w:val="22"/>
          <w:szCs w:val="22"/>
        </w:rPr>
      </w:pPr>
      <w:r w:rsidRPr="00EC66AC">
        <w:rPr>
          <w:rFonts w:ascii="HelveticaNeueLT Std" w:hAnsi="HelveticaNeueLT Std"/>
          <w:sz w:val="22"/>
          <w:szCs w:val="22"/>
        </w:rPr>
        <w:t xml:space="preserve">There are cases where information was not provided to the requestor either because </w:t>
      </w:r>
      <w:r w:rsidR="00EC66AC">
        <w:rPr>
          <w:rFonts w:ascii="HelveticaNeueLT Std" w:hAnsi="HelveticaNeueLT Std"/>
          <w:sz w:val="22"/>
          <w:szCs w:val="22"/>
        </w:rPr>
        <w:t>it was not held</w:t>
      </w:r>
      <w:r w:rsidR="00083343">
        <w:rPr>
          <w:rFonts w:ascii="HelveticaNeueLT Std" w:hAnsi="HelveticaNeueLT Std"/>
          <w:sz w:val="22"/>
          <w:szCs w:val="22"/>
        </w:rPr>
        <w:t xml:space="preserve"> or</w:t>
      </w:r>
      <w:r w:rsidRPr="00EC66AC">
        <w:rPr>
          <w:rFonts w:ascii="HelveticaNeueLT Std" w:hAnsi="HelveticaNeueLT Std"/>
          <w:sz w:val="22"/>
          <w:szCs w:val="22"/>
        </w:rPr>
        <w:t xml:space="preserve"> there was a cost attached to it</w:t>
      </w:r>
      <w:r w:rsidR="00083343">
        <w:rPr>
          <w:rFonts w:ascii="HelveticaNeueLT Std" w:hAnsi="HelveticaNeueLT Std"/>
          <w:sz w:val="22"/>
          <w:szCs w:val="22"/>
        </w:rPr>
        <w:t xml:space="preserve">. </w:t>
      </w:r>
      <w:r w:rsidRPr="00EC66AC">
        <w:rPr>
          <w:rFonts w:ascii="HelveticaNeueLT Std" w:hAnsi="HelveticaNeueLT Std"/>
          <w:sz w:val="22"/>
          <w:szCs w:val="22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2411"/>
        <w:gridCol w:w="1978"/>
      </w:tblGrid>
      <w:tr w:rsidR="00DF4ADA" w:rsidRPr="00EC66AC" w14:paraId="5AFAB44D" w14:textId="77777777" w:rsidTr="00DF4ADA">
        <w:tc>
          <w:tcPr>
            <w:tcW w:w="2721" w:type="pct"/>
            <w:shd w:val="clear" w:color="auto" w:fill="000000" w:themeFill="text1"/>
          </w:tcPr>
          <w:p w14:paraId="7ECC36ED" w14:textId="77777777" w:rsidR="00DF4ADA" w:rsidRPr="00EC66AC" w:rsidRDefault="00DF4ADA" w:rsidP="00DF4ADA">
            <w:pPr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Information not Provided</w:t>
            </w:r>
          </w:p>
        </w:tc>
        <w:tc>
          <w:tcPr>
            <w:tcW w:w="1252" w:type="pct"/>
            <w:shd w:val="clear" w:color="auto" w:fill="000000" w:themeFill="text1"/>
          </w:tcPr>
          <w:p w14:paraId="7B641A0E" w14:textId="77777777" w:rsidR="00DF4ADA" w:rsidRPr="00EC66AC" w:rsidRDefault="00DF4ADA" w:rsidP="00ED13D1">
            <w:pPr>
              <w:jc w:val="right"/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027" w:type="pct"/>
            <w:shd w:val="clear" w:color="auto" w:fill="000000" w:themeFill="text1"/>
          </w:tcPr>
          <w:p w14:paraId="4A4883F2" w14:textId="77777777" w:rsidR="00DF4ADA" w:rsidRPr="00EC66AC" w:rsidRDefault="00DF4ADA" w:rsidP="00ED13D1">
            <w:pPr>
              <w:jc w:val="right"/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% of Total</w:t>
            </w:r>
            <w:r w:rsidR="00C0075B"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 xml:space="preserve"> requests</w:t>
            </w:r>
          </w:p>
        </w:tc>
      </w:tr>
      <w:tr w:rsidR="00DF4ADA" w:rsidRPr="00EC66AC" w14:paraId="2E967B0D" w14:textId="77777777" w:rsidTr="00DF4ADA">
        <w:trPr>
          <w:trHeight w:val="283"/>
        </w:trPr>
        <w:tc>
          <w:tcPr>
            <w:tcW w:w="2721" w:type="pct"/>
            <w:tcBorders>
              <w:bottom w:val="single" w:sz="4" w:space="0" w:color="auto"/>
            </w:tcBorders>
            <w:shd w:val="clear" w:color="auto" w:fill="auto"/>
          </w:tcPr>
          <w:p w14:paraId="5EE3E28F" w14:textId="77777777" w:rsidR="00DF4ADA" w:rsidRPr="00F84410" w:rsidRDefault="00DF4ADA" w:rsidP="00DF4ADA">
            <w:pPr>
              <w:rPr>
                <w:rFonts w:ascii="HelveticaNeueLT Std" w:hAnsi="HelveticaNeueLT Std"/>
                <w:sz w:val="22"/>
                <w:szCs w:val="22"/>
              </w:rPr>
            </w:pPr>
            <w:r w:rsidRPr="00F84410">
              <w:rPr>
                <w:rFonts w:ascii="HelveticaNeueLT Std" w:hAnsi="HelveticaNeueLT Std"/>
                <w:sz w:val="22"/>
                <w:szCs w:val="22"/>
              </w:rPr>
              <w:t>Information not held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67777A10" w14:textId="2BCB325E" w:rsidR="00DF4ADA" w:rsidRPr="00F84410" w:rsidRDefault="00083343" w:rsidP="00ED13D1">
            <w:pPr>
              <w:jc w:val="right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209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14:paraId="6D92AA27" w14:textId="2627E560" w:rsidR="00DF4ADA" w:rsidRPr="00D257E2" w:rsidRDefault="000D49E8" w:rsidP="00ED13D1">
            <w:pPr>
              <w:jc w:val="right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15%</w:t>
            </w:r>
          </w:p>
        </w:tc>
      </w:tr>
      <w:tr w:rsidR="00DF4ADA" w:rsidRPr="00EC66AC" w14:paraId="55713738" w14:textId="77777777" w:rsidTr="00DF4ADA">
        <w:trPr>
          <w:trHeight w:val="283"/>
        </w:trPr>
        <w:tc>
          <w:tcPr>
            <w:tcW w:w="2721" w:type="pct"/>
            <w:tcBorders>
              <w:bottom w:val="single" w:sz="4" w:space="0" w:color="auto"/>
            </w:tcBorders>
            <w:shd w:val="clear" w:color="auto" w:fill="auto"/>
          </w:tcPr>
          <w:p w14:paraId="5DFB7651" w14:textId="77777777" w:rsidR="00DF4ADA" w:rsidRPr="00F84410" w:rsidRDefault="00DF4ADA" w:rsidP="00DF4ADA">
            <w:pPr>
              <w:rPr>
                <w:rFonts w:ascii="HelveticaNeueLT Std" w:hAnsi="HelveticaNeueLT Std"/>
                <w:sz w:val="22"/>
                <w:szCs w:val="22"/>
              </w:rPr>
            </w:pPr>
            <w:r w:rsidRPr="00F84410">
              <w:rPr>
                <w:rFonts w:ascii="HelveticaNeueLT Std" w:hAnsi="HelveticaNeueLT Std"/>
                <w:sz w:val="22"/>
                <w:szCs w:val="22"/>
              </w:rPr>
              <w:t>Information not given due to cost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12F6DE0A" w14:textId="27B0532C" w:rsidR="00DF4ADA" w:rsidRPr="00F84410" w:rsidRDefault="00083343" w:rsidP="00ED13D1">
            <w:pPr>
              <w:jc w:val="right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43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14:paraId="23B0EC98" w14:textId="4130EFFC" w:rsidR="00DF4ADA" w:rsidRPr="00D257E2" w:rsidRDefault="000D49E8" w:rsidP="00ED13D1">
            <w:pPr>
              <w:jc w:val="right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3%</w:t>
            </w:r>
          </w:p>
        </w:tc>
      </w:tr>
    </w:tbl>
    <w:p w14:paraId="751E2449" w14:textId="77777777" w:rsidR="00DF4ADA" w:rsidRPr="00EC66AC" w:rsidRDefault="00DF4ADA" w:rsidP="00DF4ADA">
      <w:pPr>
        <w:ind w:left="720"/>
        <w:rPr>
          <w:rFonts w:ascii="HelveticaNeueLT Std" w:hAnsi="HelveticaNeueLT Std"/>
          <w:sz w:val="22"/>
          <w:szCs w:val="22"/>
        </w:rPr>
      </w:pPr>
    </w:p>
    <w:p w14:paraId="20630087" w14:textId="1DD7FB41" w:rsidR="00DF4ADA" w:rsidRPr="00EC66AC" w:rsidRDefault="00DF4ADA" w:rsidP="00DF4ADA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/>
          <w:sz w:val="22"/>
          <w:szCs w:val="22"/>
        </w:rPr>
      </w:pPr>
      <w:r w:rsidRPr="00EC66AC">
        <w:rPr>
          <w:rFonts w:ascii="HelveticaNeueLT Std" w:hAnsi="HelveticaNeueLT Std"/>
          <w:sz w:val="22"/>
          <w:szCs w:val="22"/>
        </w:rPr>
        <w:t xml:space="preserve">In addition to these requests there were a further </w:t>
      </w:r>
      <w:r w:rsidR="00F84410">
        <w:rPr>
          <w:rFonts w:ascii="HelveticaNeueLT Std" w:hAnsi="HelveticaNeueLT Std"/>
          <w:sz w:val="22"/>
          <w:szCs w:val="22"/>
        </w:rPr>
        <w:t>1</w:t>
      </w:r>
      <w:r w:rsidR="00083343">
        <w:rPr>
          <w:rFonts w:ascii="HelveticaNeueLT Std" w:hAnsi="HelveticaNeueLT Std"/>
          <w:sz w:val="22"/>
          <w:szCs w:val="22"/>
        </w:rPr>
        <w:t xml:space="preserve">48 </w:t>
      </w:r>
      <w:r w:rsidRPr="00EC66AC">
        <w:rPr>
          <w:rFonts w:ascii="HelveticaNeueLT Std" w:hAnsi="HelveticaNeueLT Std"/>
          <w:sz w:val="22"/>
          <w:szCs w:val="22"/>
        </w:rPr>
        <w:t xml:space="preserve">cases </w:t>
      </w:r>
      <w:r w:rsidR="00B37A8A" w:rsidRPr="00EC66AC">
        <w:rPr>
          <w:rFonts w:ascii="HelveticaNeueLT Std" w:hAnsi="HelveticaNeueLT Std"/>
          <w:sz w:val="22"/>
          <w:szCs w:val="22"/>
        </w:rPr>
        <w:t>(</w:t>
      </w:r>
      <w:r w:rsidR="000D49E8">
        <w:rPr>
          <w:rFonts w:ascii="HelveticaNeueLT Std" w:hAnsi="HelveticaNeueLT Std"/>
          <w:sz w:val="22"/>
          <w:szCs w:val="22"/>
        </w:rPr>
        <w:t>10</w:t>
      </w:r>
      <w:r w:rsidR="00B37A8A" w:rsidRPr="00D257E2">
        <w:rPr>
          <w:rFonts w:ascii="HelveticaNeueLT Std" w:hAnsi="HelveticaNeueLT Std"/>
          <w:sz w:val="22"/>
          <w:szCs w:val="22"/>
        </w:rPr>
        <w:t xml:space="preserve">%) </w:t>
      </w:r>
      <w:r w:rsidRPr="00EC66AC">
        <w:rPr>
          <w:rFonts w:ascii="HelveticaNeueLT Std" w:hAnsi="HelveticaNeueLT Std"/>
          <w:sz w:val="22"/>
          <w:szCs w:val="22"/>
        </w:rPr>
        <w:t xml:space="preserve">where an exemption was applied.  Both the FOI and EIR Acts contain exemptions that allow Public Authorities to withhold information in certain cases.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1560"/>
        <w:gridCol w:w="1978"/>
      </w:tblGrid>
      <w:tr w:rsidR="00ED13D1" w:rsidRPr="00EC66AC" w14:paraId="054E0893" w14:textId="77777777" w:rsidTr="001A08E0">
        <w:tc>
          <w:tcPr>
            <w:tcW w:w="3163" w:type="pct"/>
            <w:shd w:val="clear" w:color="auto" w:fill="000000" w:themeFill="text1"/>
          </w:tcPr>
          <w:p w14:paraId="19DCB9C0" w14:textId="77777777" w:rsidR="00ED13D1" w:rsidRPr="00EC66AC" w:rsidRDefault="00ED13D1" w:rsidP="00F168D8">
            <w:pPr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FOI - Exemption Applied</w:t>
            </w:r>
          </w:p>
        </w:tc>
        <w:tc>
          <w:tcPr>
            <w:tcW w:w="810" w:type="pct"/>
            <w:shd w:val="clear" w:color="auto" w:fill="000000" w:themeFill="text1"/>
          </w:tcPr>
          <w:p w14:paraId="43CECC46" w14:textId="77777777" w:rsidR="00ED13D1" w:rsidRPr="00EC66AC" w:rsidRDefault="00ED13D1" w:rsidP="00ED13D1">
            <w:pPr>
              <w:jc w:val="right"/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027" w:type="pct"/>
            <w:shd w:val="clear" w:color="auto" w:fill="000000" w:themeFill="text1"/>
          </w:tcPr>
          <w:p w14:paraId="6F7F64E1" w14:textId="77777777" w:rsidR="00ED13D1" w:rsidRPr="00EC66AC" w:rsidRDefault="00ED13D1" w:rsidP="00ED13D1">
            <w:pPr>
              <w:jc w:val="right"/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% of Total Exemptions</w:t>
            </w:r>
          </w:p>
        </w:tc>
      </w:tr>
      <w:tr w:rsidR="00F84410" w:rsidRPr="00F84410" w14:paraId="46CCCA41" w14:textId="77777777" w:rsidTr="001A08E0">
        <w:trPr>
          <w:trHeight w:val="283"/>
        </w:trPr>
        <w:tc>
          <w:tcPr>
            <w:tcW w:w="3163" w:type="pct"/>
            <w:tcBorders>
              <w:bottom w:val="single" w:sz="4" w:space="0" w:color="auto"/>
            </w:tcBorders>
            <w:shd w:val="clear" w:color="auto" w:fill="auto"/>
          </w:tcPr>
          <w:p w14:paraId="1DAB9432" w14:textId="77777777" w:rsidR="00ED13D1" w:rsidRPr="00F84410" w:rsidRDefault="00ED13D1" w:rsidP="00F168D8">
            <w:pPr>
              <w:rPr>
                <w:rFonts w:ascii="HelveticaNeueLT Std" w:hAnsi="HelveticaNeueLT Std"/>
                <w:sz w:val="22"/>
                <w:szCs w:val="22"/>
              </w:rPr>
            </w:pPr>
            <w:r w:rsidRPr="00F84410">
              <w:rPr>
                <w:rFonts w:ascii="HelveticaNeueLT Std" w:hAnsi="HelveticaNeueLT Std" w:cs="Arial"/>
                <w:sz w:val="22"/>
                <w:szCs w:val="22"/>
              </w:rPr>
              <w:t>Section 40 – Personal Information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5A60FCC2" w14:textId="2AE41FBB" w:rsidR="00ED13D1" w:rsidRPr="00F84410" w:rsidRDefault="003068B0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44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14:paraId="55CD79F7" w14:textId="35A7B19A" w:rsidR="00ED13D1" w:rsidRPr="00F84410" w:rsidRDefault="000D49E8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30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F84410" w:rsidRPr="00F84410" w14:paraId="41C793EF" w14:textId="77777777" w:rsidTr="001A08E0">
        <w:trPr>
          <w:trHeight w:val="283"/>
        </w:trPr>
        <w:tc>
          <w:tcPr>
            <w:tcW w:w="3163" w:type="pct"/>
            <w:tcBorders>
              <w:bottom w:val="single" w:sz="4" w:space="0" w:color="auto"/>
            </w:tcBorders>
            <w:shd w:val="clear" w:color="auto" w:fill="auto"/>
          </w:tcPr>
          <w:p w14:paraId="3977EB11" w14:textId="77777777" w:rsidR="00ED13D1" w:rsidRPr="00F84410" w:rsidRDefault="00ED13D1" w:rsidP="00F168D8">
            <w:pPr>
              <w:rPr>
                <w:rFonts w:ascii="HelveticaNeueLT Std" w:hAnsi="HelveticaNeueLT Std"/>
                <w:sz w:val="22"/>
                <w:szCs w:val="22"/>
              </w:rPr>
            </w:pPr>
            <w:r w:rsidRPr="00F84410">
              <w:rPr>
                <w:rFonts w:ascii="HelveticaNeueLT Std" w:hAnsi="HelveticaNeueLT Std" w:cs="Arial"/>
                <w:sz w:val="22"/>
                <w:szCs w:val="22"/>
              </w:rPr>
              <w:lastRenderedPageBreak/>
              <w:t>Section 31 – Law Enforcement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4881C1A5" w14:textId="1B7799C1" w:rsidR="00ED13D1" w:rsidRPr="00F84410" w:rsidRDefault="003068B0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46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14:paraId="34EEA1F2" w14:textId="7D553AA2" w:rsidR="00ED13D1" w:rsidRPr="00F84410" w:rsidRDefault="000D49E8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31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F84410" w:rsidRPr="00F84410" w14:paraId="1900BEB0" w14:textId="77777777" w:rsidTr="001A08E0">
        <w:trPr>
          <w:trHeight w:val="283"/>
        </w:trPr>
        <w:tc>
          <w:tcPr>
            <w:tcW w:w="3163" w:type="pct"/>
            <w:tcBorders>
              <w:bottom w:val="single" w:sz="4" w:space="0" w:color="auto"/>
            </w:tcBorders>
            <w:shd w:val="clear" w:color="auto" w:fill="auto"/>
          </w:tcPr>
          <w:p w14:paraId="20831B8E" w14:textId="77777777" w:rsidR="00ED13D1" w:rsidRPr="00F84410" w:rsidRDefault="00ED13D1" w:rsidP="00F168D8">
            <w:pPr>
              <w:rPr>
                <w:rFonts w:ascii="HelveticaNeueLT Std" w:hAnsi="HelveticaNeueLT Std"/>
                <w:sz w:val="22"/>
                <w:szCs w:val="22"/>
              </w:rPr>
            </w:pPr>
            <w:r w:rsidRPr="00F84410">
              <w:rPr>
                <w:rFonts w:ascii="HelveticaNeueLT Std" w:hAnsi="HelveticaNeueLT Std" w:cs="Arial"/>
                <w:sz w:val="22"/>
                <w:szCs w:val="22"/>
              </w:rPr>
              <w:t>Section 43 – Commercial Interests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60C4E75B" w14:textId="34549EF2" w:rsidR="00ED13D1" w:rsidRPr="00F84410" w:rsidRDefault="003068B0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12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14:paraId="7CEC86EA" w14:textId="49B742F3" w:rsidR="00ED13D1" w:rsidRPr="00F84410" w:rsidRDefault="000D49E8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8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F84410" w:rsidRPr="00F84410" w14:paraId="3A394034" w14:textId="77777777" w:rsidTr="001A08E0">
        <w:trPr>
          <w:trHeight w:val="283"/>
        </w:trPr>
        <w:tc>
          <w:tcPr>
            <w:tcW w:w="3163" w:type="pct"/>
            <w:tcBorders>
              <w:bottom w:val="single" w:sz="4" w:space="0" w:color="auto"/>
            </w:tcBorders>
            <w:shd w:val="clear" w:color="auto" w:fill="auto"/>
          </w:tcPr>
          <w:p w14:paraId="4CA02D32" w14:textId="77777777" w:rsidR="00ED13D1" w:rsidRPr="00F84410" w:rsidRDefault="00ED13D1" w:rsidP="00ED13D1">
            <w:pPr>
              <w:rPr>
                <w:rFonts w:ascii="HelveticaNeueLT Std" w:hAnsi="HelveticaNeueLT Std"/>
                <w:sz w:val="22"/>
                <w:szCs w:val="22"/>
              </w:rPr>
            </w:pPr>
            <w:r w:rsidRPr="00F84410">
              <w:rPr>
                <w:rFonts w:ascii="HelveticaNeueLT Std" w:hAnsi="HelveticaNeueLT Std" w:cs="Arial"/>
                <w:sz w:val="22"/>
                <w:szCs w:val="22"/>
              </w:rPr>
              <w:t>Section 21 – Info accessible by some other means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37F2A70A" w14:textId="545F7BEF" w:rsidR="00ED13D1" w:rsidRPr="00F84410" w:rsidRDefault="00083343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6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14:paraId="72FEF63C" w14:textId="169045E9" w:rsidR="00ED13D1" w:rsidRPr="00F84410" w:rsidRDefault="000D49E8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4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F84410" w:rsidRPr="00F84410" w14:paraId="22144CCD" w14:textId="77777777" w:rsidTr="001A08E0">
        <w:trPr>
          <w:trHeight w:val="283"/>
        </w:trPr>
        <w:tc>
          <w:tcPr>
            <w:tcW w:w="3163" w:type="pct"/>
            <w:tcBorders>
              <w:bottom w:val="single" w:sz="4" w:space="0" w:color="auto"/>
            </w:tcBorders>
            <w:shd w:val="clear" w:color="auto" w:fill="auto"/>
          </w:tcPr>
          <w:p w14:paraId="4160CDA7" w14:textId="77777777" w:rsidR="00ED13D1" w:rsidRPr="00F84410" w:rsidRDefault="00ED13D1" w:rsidP="00ED13D1">
            <w:pPr>
              <w:rPr>
                <w:rFonts w:ascii="HelveticaNeueLT Std" w:hAnsi="HelveticaNeueLT Std"/>
                <w:sz w:val="22"/>
                <w:szCs w:val="22"/>
              </w:rPr>
            </w:pPr>
            <w:r w:rsidRPr="00F84410">
              <w:rPr>
                <w:rFonts w:ascii="HelveticaNeueLT Std" w:hAnsi="HelveticaNeueLT Std" w:cs="Arial"/>
                <w:sz w:val="22"/>
                <w:szCs w:val="22"/>
              </w:rPr>
              <w:t xml:space="preserve">Section 22 – Intended for future publication 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39BE5370" w14:textId="39A2603A" w:rsidR="00ED13D1" w:rsidRPr="00F84410" w:rsidRDefault="00083343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12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14:paraId="5593CC5F" w14:textId="37D6C91F" w:rsidR="00ED13D1" w:rsidRPr="00F84410" w:rsidRDefault="000D49E8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8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F84410" w:rsidRPr="00F84410" w14:paraId="1F22592C" w14:textId="77777777" w:rsidTr="001A08E0">
        <w:trPr>
          <w:trHeight w:val="283"/>
        </w:trPr>
        <w:tc>
          <w:tcPr>
            <w:tcW w:w="3163" w:type="pct"/>
            <w:tcBorders>
              <w:bottom w:val="single" w:sz="4" w:space="0" w:color="auto"/>
            </w:tcBorders>
            <w:shd w:val="clear" w:color="auto" w:fill="auto"/>
          </w:tcPr>
          <w:p w14:paraId="7FD32AB6" w14:textId="77777777" w:rsidR="00ED13D1" w:rsidRPr="00F84410" w:rsidRDefault="00ED13D1" w:rsidP="00ED13D1">
            <w:pPr>
              <w:rPr>
                <w:rFonts w:ascii="HelveticaNeueLT Std" w:hAnsi="HelveticaNeueLT Std"/>
                <w:sz w:val="22"/>
                <w:szCs w:val="22"/>
              </w:rPr>
            </w:pPr>
            <w:r w:rsidRPr="00F84410">
              <w:rPr>
                <w:rFonts w:ascii="HelveticaNeueLT Std" w:hAnsi="HelveticaNeueLT Std" w:cs="Arial"/>
                <w:sz w:val="22"/>
                <w:szCs w:val="22"/>
              </w:rPr>
              <w:t>Section 24 – National Security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631A8AF1" w14:textId="25527434" w:rsidR="00ED13D1" w:rsidRPr="00F84410" w:rsidRDefault="00083343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14:paraId="0C511F16" w14:textId="45EE7D0F" w:rsidR="00ED13D1" w:rsidRPr="00F84410" w:rsidRDefault="000D49E8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2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F84410" w:rsidRPr="00F84410" w14:paraId="7C00B272" w14:textId="77777777" w:rsidTr="001A08E0">
        <w:trPr>
          <w:trHeight w:val="283"/>
        </w:trPr>
        <w:tc>
          <w:tcPr>
            <w:tcW w:w="3163" w:type="pct"/>
            <w:shd w:val="clear" w:color="auto" w:fill="auto"/>
          </w:tcPr>
          <w:p w14:paraId="1AEB5D86" w14:textId="2F54C521" w:rsidR="00ED13D1" w:rsidRPr="00F84410" w:rsidRDefault="00ED13D1" w:rsidP="00F84410">
            <w:pPr>
              <w:rPr>
                <w:rFonts w:ascii="HelveticaNeueLT Std" w:hAnsi="HelveticaNeueLT Std"/>
                <w:sz w:val="22"/>
                <w:szCs w:val="22"/>
              </w:rPr>
            </w:pPr>
            <w:r w:rsidRPr="00F84410">
              <w:rPr>
                <w:rFonts w:ascii="HelveticaNeueLT Std" w:hAnsi="HelveticaNeueLT Std" w:cs="Arial"/>
                <w:sz w:val="22"/>
                <w:szCs w:val="22"/>
              </w:rPr>
              <w:t>Section 4</w:t>
            </w:r>
            <w:r w:rsidR="00F84410" w:rsidRPr="00F84410">
              <w:rPr>
                <w:rFonts w:ascii="HelveticaNeueLT Std" w:hAnsi="HelveticaNeueLT Std" w:cs="Arial"/>
                <w:sz w:val="22"/>
                <w:szCs w:val="22"/>
              </w:rPr>
              <w:t>2 – Legal Professional Privilege</w:t>
            </w:r>
          </w:p>
        </w:tc>
        <w:tc>
          <w:tcPr>
            <w:tcW w:w="810" w:type="pct"/>
          </w:tcPr>
          <w:p w14:paraId="526FA649" w14:textId="665B0469" w:rsidR="00ED13D1" w:rsidRPr="00F84410" w:rsidRDefault="003068B0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8</w:t>
            </w:r>
          </w:p>
        </w:tc>
        <w:tc>
          <w:tcPr>
            <w:tcW w:w="1027" w:type="pct"/>
            <w:shd w:val="clear" w:color="auto" w:fill="auto"/>
          </w:tcPr>
          <w:p w14:paraId="204B18BC" w14:textId="69407746" w:rsidR="00ED13D1" w:rsidRPr="00F84410" w:rsidRDefault="000D49E8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5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083343" w:rsidRPr="00F84410" w14:paraId="79C89BFB" w14:textId="77777777" w:rsidTr="001A08E0">
        <w:trPr>
          <w:trHeight w:val="283"/>
        </w:trPr>
        <w:tc>
          <w:tcPr>
            <w:tcW w:w="3163" w:type="pct"/>
            <w:shd w:val="clear" w:color="auto" w:fill="auto"/>
          </w:tcPr>
          <w:p w14:paraId="2129A7AE" w14:textId="41FE0662" w:rsidR="00083343" w:rsidRPr="00A300B3" w:rsidRDefault="00A300B3" w:rsidP="00F84410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A300B3">
              <w:rPr>
                <w:rFonts w:ascii="HelveticaNeueLT Std" w:hAnsi="HelveticaNeueLT Std" w:cs="Arial"/>
                <w:sz w:val="22"/>
                <w:szCs w:val="22"/>
              </w:rPr>
              <w:t xml:space="preserve">Section </w:t>
            </w:r>
            <w:r w:rsidR="00083343" w:rsidRPr="00A300B3">
              <w:rPr>
                <w:rFonts w:ascii="HelveticaNeueLT Std" w:hAnsi="HelveticaNeueLT Std" w:cs="Arial"/>
                <w:sz w:val="22"/>
                <w:szCs w:val="22"/>
              </w:rPr>
              <w:t>30</w:t>
            </w:r>
            <w:r w:rsidRPr="00A300B3">
              <w:rPr>
                <w:rFonts w:ascii="HelveticaNeueLT Std" w:hAnsi="HelveticaNeueLT Std" w:cs="Arial"/>
                <w:sz w:val="22"/>
                <w:szCs w:val="22"/>
              </w:rPr>
              <w:t xml:space="preserve"> - </w:t>
            </w:r>
            <w:r w:rsidRPr="00A300B3">
              <w:rPr>
                <w:rFonts w:ascii="HelveticaNeueLT Std" w:hAnsi="HelveticaNeueLT Std"/>
                <w:sz w:val="22"/>
                <w:szCs w:val="22"/>
              </w:rPr>
              <w:t>Investigations and proceedings by public authorities</w:t>
            </w:r>
          </w:p>
        </w:tc>
        <w:tc>
          <w:tcPr>
            <w:tcW w:w="810" w:type="pct"/>
          </w:tcPr>
          <w:p w14:paraId="5612731C" w14:textId="7F850EE3" w:rsidR="00083343" w:rsidRPr="00F84410" w:rsidRDefault="003068B0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14:paraId="1CD6DC28" w14:textId="692C9590" w:rsidR="00083343" w:rsidRPr="00F84410" w:rsidRDefault="000D49E8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3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3068B0" w:rsidRPr="00F84410" w14:paraId="5E705B1A" w14:textId="77777777" w:rsidTr="001A08E0">
        <w:trPr>
          <w:trHeight w:val="283"/>
        </w:trPr>
        <w:tc>
          <w:tcPr>
            <w:tcW w:w="3163" w:type="pct"/>
            <w:shd w:val="clear" w:color="auto" w:fill="auto"/>
          </w:tcPr>
          <w:p w14:paraId="395A69BA" w14:textId="4FF64E2D" w:rsidR="003068B0" w:rsidRPr="00A300B3" w:rsidRDefault="00A300B3" w:rsidP="00F84410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A300B3">
              <w:rPr>
                <w:rFonts w:ascii="HelveticaNeueLT Std" w:hAnsi="HelveticaNeueLT Std" w:cs="Arial"/>
                <w:sz w:val="22"/>
                <w:szCs w:val="22"/>
              </w:rPr>
              <w:t xml:space="preserve">Section </w:t>
            </w:r>
            <w:r w:rsidR="003068B0" w:rsidRPr="00A300B3">
              <w:rPr>
                <w:rFonts w:ascii="HelveticaNeueLT Std" w:hAnsi="HelveticaNeueLT Std" w:cs="Arial"/>
                <w:sz w:val="22"/>
                <w:szCs w:val="22"/>
              </w:rPr>
              <w:t>32</w:t>
            </w:r>
            <w:r w:rsidRPr="00A300B3">
              <w:rPr>
                <w:rFonts w:ascii="HelveticaNeueLT Std" w:hAnsi="HelveticaNeueLT Std" w:cs="Arial"/>
                <w:sz w:val="22"/>
                <w:szCs w:val="22"/>
              </w:rPr>
              <w:t xml:space="preserve"> - </w:t>
            </w:r>
            <w:r w:rsidRPr="00A300B3">
              <w:rPr>
                <w:rFonts w:ascii="HelveticaNeueLT Std" w:hAnsi="HelveticaNeueLT Std"/>
                <w:sz w:val="22"/>
                <w:szCs w:val="22"/>
              </w:rPr>
              <w:t>Court records</w:t>
            </w:r>
          </w:p>
        </w:tc>
        <w:tc>
          <w:tcPr>
            <w:tcW w:w="810" w:type="pct"/>
          </w:tcPr>
          <w:p w14:paraId="5C96CC0D" w14:textId="0528DBD1" w:rsidR="003068B0" w:rsidRDefault="003068B0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201EF381" w14:textId="60427475" w:rsidR="003068B0" w:rsidRPr="00F84410" w:rsidRDefault="000D49E8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&lt;1%</w:t>
            </w:r>
          </w:p>
        </w:tc>
      </w:tr>
      <w:tr w:rsidR="003068B0" w:rsidRPr="00F84410" w14:paraId="428C8C64" w14:textId="77777777" w:rsidTr="001A08E0">
        <w:trPr>
          <w:trHeight w:val="283"/>
        </w:trPr>
        <w:tc>
          <w:tcPr>
            <w:tcW w:w="3163" w:type="pct"/>
            <w:shd w:val="clear" w:color="auto" w:fill="auto"/>
          </w:tcPr>
          <w:p w14:paraId="683F669B" w14:textId="3797ADEE" w:rsidR="003068B0" w:rsidRPr="00A300B3" w:rsidRDefault="00A300B3" w:rsidP="00F84410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A300B3">
              <w:rPr>
                <w:rFonts w:ascii="HelveticaNeueLT Std" w:hAnsi="HelveticaNeueLT Std" w:cs="Arial"/>
                <w:sz w:val="22"/>
                <w:szCs w:val="22"/>
              </w:rPr>
              <w:t>Section 36 – Effective Conduct of Public Affairs</w:t>
            </w:r>
          </w:p>
        </w:tc>
        <w:tc>
          <w:tcPr>
            <w:tcW w:w="810" w:type="pct"/>
          </w:tcPr>
          <w:p w14:paraId="6350358D" w14:textId="42E92AF4" w:rsidR="003068B0" w:rsidRDefault="003068B0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17235BFC" w14:textId="30141605" w:rsidR="003068B0" w:rsidRPr="00F84410" w:rsidRDefault="00A300B3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&lt;1%</w:t>
            </w:r>
          </w:p>
        </w:tc>
      </w:tr>
      <w:tr w:rsidR="003068B0" w:rsidRPr="00F84410" w14:paraId="6D1A82D1" w14:textId="77777777" w:rsidTr="001A08E0">
        <w:trPr>
          <w:trHeight w:val="283"/>
        </w:trPr>
        <w:tc>
          <w:tcPr>
            <w:tcW w:w="3163" w:type="pct"/>
            <w:shd w:val="clear" w:color="auto" w:fill="auto"/>
          </w:tcPr>
          <w:p w14:paraId="1207705D" w14:textId="61FBA7E9" w:rsidR="003068B0" w:rsidRPr="00A300B3" w:rsidRDefault="00A300B3" w:rsidP="00F84410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A300B3">
              <w:rPr>
                <w:rFonts w:ascii="HelveticaNeueLT Std" w:hAnsi="HelveticaNeueLT Std" w:cs="Arial"/>
                <w:sz w:val="22"/>
                <w:szCs w:val="22"/>
              </w:rPr>
              <w:t xml:space="preserve">Section </w:t>
            </w:r>
            <w:r w:rsidR="003068B0" w:rsidRPr="00A300B3">
              <w:rPr>
                <w:rFonts w:ascii="HelveticaNeueLT Std" w:hAnsi="HelveticaNeueLT Std" w:cs="Arial"/>
                <w:sz w:val="22"/>
                <w:szCs w:val="22"/>
              </w:rPr>
              <w:t>38</w:t>
            </w:r>
            <w:r w:rsidRPr="00A300B3">
              <w:rPr>
                <w:rFonts w:ascii="HelveticaNeueLT Std" w:hAnsi="HelveticaNeueLT Std" w:cs="Arial"/>
                <w:sz w:val="22"/>
                <w:szCs w:val="22"/>
              </w:rPr>
              <w:t xml:space="preserve"> - </w:t>
            </w:r>
            <w:r w:rsidRPr="00A300B3">
              <w:rPr>
                <w:rFonts w:ascii="HelveticaNeueLT Std" w:hAnsi="HelveticaNeueLT Std"/>
                <w:sz w:val="22"/>
                <w:szCs w:val="22"/>
              </w:rPr>
              <w:t>Health and Safety</w:t>
            </w:r>
          </w:p>
        </w:tc>
        <w:tc>
          <w:tcPr>
            <w:tcW w:w="810" w:type="pct"/>
          </w:tcPr>
          <w:p w14:paraId="426E6B03" w14:textId="23D1F73F" w:rsidR="003068B0" w:rsidRDefault="003068B0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8</w:t>
            </w:r>
          </w:p>
        </w:tc>
        <w:tc>
          <w:tcPr>
            <w:tcW w:w="1027" w:type="pct"/>
            <w:shd w:val="clear" w:color="auto" w:fill="auto"/>
          </w:tcPr>
          <w:p w14:paraId="210C3A05" w14:textId="6E72AD0C" w:rsidR="003068B0" w:rsidRPr="00F84410" w:rsidRDefault="00A300B3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5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3068B0" w:rsidRPr="00F84410" w14:paraId="1937A480" w14:textId="77777777" w:rsidTr="001A08E0">
        <w:trPr>
          <w:trHeight w:val="283"/>
        </w:trPr>
        <w:tc>
          <w:tcPr>
            <w:tcW w:w="3163" w:type="pct"/>
            <w:shd w:val="clear" w:color="auto" w:fill="auto"/>
          </w:tcPr>
          <w:p w14:paraId="44694388" w14:textId="3AA4B10B" w:rsidR="003068B0" w:rsidRPr="00A300B3" w:rsidRDefault="00A300B3" w:rsidP="00A300B3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A300B3">
              <w:rPr>
                <w:rFonts w:ascii="HelveticaNeueLT Std" w:hAnsi="HelveticaNeueLT Std" w:cs="Arial"/>
                <w:sz w:val="22"/>
                <w:szCs w:val="22"/>
              </w:rPr>
              <w:t xml:space="preserve">Section </w:t>
            </w:r>
            <w:r w:rsidR="003068B0" w:rsidRPr="00A300B3">
              <w:rPr>
                <w:rFonts w:ascii="HelveticaNeueLT Std" w:hAnsi="HelveticaNeueLT Std" w:cs="Arial"/>
                <w:sz w:val="22"/>
                <w:szCs w:val="22"/>
              </w:rPr>
              <w:t>41</w:t>
            </w:r>
            <w:r w:rsidRPr="00A300B3">
              <w:rPr>
                <w:rFonts w:ascii="HelveticaNeueLT Std" w:hAnsi="HelveticaNeueLT Std" w:cs="Arial"/>
                <w:sz w:val="22"/>
                <w:szCs w:val="22"/>
              </w:rPr>
              <w:t xml:space="preserve">- </w:t>
            </w:r>
            <w:r w:rsidRPr="00A300B3">
              <w:rPr>
                <w:rFonts w:ascii="HelveticaNeueLT Std" w:hAnsi="HelveticaNeueLT Std"/>
                <w:sz w:val="22"/>
                <w:szCs w:val="22"/>
              </w:rPr>
              <w:t xml:space="preserve">Information provided in confidence </w:t>
            </w:r>
          </w:p>
        </w:tc>
        <w:tc>
          <w:tcPr>
            <w:tcW w:w="810" w:type="pct"/>
          </w:tcPr>
          <w:p w14:paraId="15509432" w14:textId="048E68E6" w:rsidR="003068B0" w:rsidRDefault="003068B0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4F520932" w14:textId="4065893D" w:rsidR="003068B0" w:rsidRPr="00F84410" w:rsidRDefault="00A300B3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</w:t>
            </w:r>
            <w:r w:rsidR="001A08E0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</w:tbl>
    <w:p w14:paraId="41CAAA90" w14:textId="77777777" w:rsidR="00DF4ADA" w:rsidRPr="00F84410" w:rsidRDefault="00DF4ADA" w:rsidP="00D15440">
      <w:pPr>
        <w:rPr>
          <w:rFonts w:ascii="HelveticaNeueLT Std" w:hAnsi="HelveticaNeueLT Std" w:cs="Comic Sans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1560"/>
        <w:gridCol w:w="1978"/>
      </w:tblGrid>
      <w:tr w:rsidR="00F84410" w:rsidRPr="00F84410" w14:paraId="3CBF8A69" w14:textId="77777777" w:rsidTr="001A08E0">
        <w:tc>
          <w:tcPr>
            <w:tcW w:w="3163" w:type="pct"/>
            <w:shd w:val="clear" w:color="auto" w:fill="000000" w:themeFill="text1"/>
          </w:tcPr>
          <w:p w14:paraId="16FE2690" w14:textId="77777777" w:rsidR="00ED13D1" w:rsidRPr="00F84410" w:rsidRDefault="00ED13D1" w:rsidP="00F168D8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F84410">
              <w:rPr>
                <w:rFonts w:ascii="HelveticaNeueLT Std" w:hAnsi="HelveticaNeueLT Std"/>
                <w:b/>
                <w:sz w:val="22"/>
                <w:szCs w:val="22"/>
              </w:rPr>
              <w:t>EIR - Exemption Applied</w:t>
            </w:r>
          </w:p>
        </w:tc>
        <w:tc>
          <w:tcPr>
            <w:tcW w:w="810" w:type="pct"/>
            <w:shd w:val="clear" w:color="auto" w:fill="000000" w:themeFill="text1"/>
          </w:tcPr>
          <w:p w14:paraId="2F1A2A65" w14:textId="77777777" w:rsidR="00ED13D1" w:rsidRPr="00F84410" w:rsidRDefault="00ED13D1" w:rsidP="00F168D8">
            <w:pPr>
              <w:jc w:val="right"/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F84410">
              <w:rPr>
                <w:rFonts w:ascii="HelveticaNeueLT Std" w:hAnsi="HelveticaNeueLT Std"/>
                <w:b/>
                <w:sz w:val="22"/>
                <w:szCs w:val="22"/>
              </w:rPr>
              <w:t>Total</w:t>
            </w:r>
          </w:p>
        </w:tc>
        <w:tc>
          <w:tcPr>
            <w:tcW w:w="1027" w:type="pct"/>
            <w:shd w:val="clear" w:color="auto" w:fill="000000" w:themeFill="text1"/>
          </w:tcPr>
          <w:p w14:paraId="19D9347E" w14:textId="77777777" w:rsidR="00ED13D1" w:rsidRPr="00F84410" w:rsidRDefault="00ED13D1" w:rsidP="00F168D8">
            <w:pPr>
              <w:jc w:val="right"/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F84410">
              <w:rPr>
                <w:rFonts w:ascii="HelveticaNeueLT Std" w:hAnsi="HelveticaNeueLT Std"/>
                <w:b/>
                <w:sz w:val="22"/>
                <w:szCs w:val="22"/>
              </w:rPr>
              <w:t>% of Total Exemptions</w:t>
            </w:r>
          </w:p>
        </w:tc>
      </w:tr>
      <w:tr w:rsidR="00F84410" w:rsidRPr="00F84410" w14:paraId="446763D0" w14:textId="77777777" w:rsidTr="001A08E0">
        <w:trPr>
          <w:trHeight w:val="283"/>
        </w:trPr>
        <w:tc>
          <w:tcPr>
            <w:tcW w:w="3163" w:type="pct"/>
            <w:tcBorders>
              <w:bottom w:val="single" w:sz="4" w:space="0" w:color="auto"/>
            </w:tcBorders>
            <w:shd w:val="clear" w:color="auto" w:fill="auto"/>
          </w:tcPr>
          <w:p w14:paraId="553F6D48" w14:textId="77777777" w:rsidR="00C0075B" w:rsidRPr="00F84410" w:rsidRDefault="00C0075B" w:rsidP="00ED13D1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F84410">
              <w:rPr>
                <w:rFonts w:ascii="HelveticaNeueLT Std" w:hAnsi="HelveticaNeueLT Std" w:cs="Arial"/>
                <w:sz w:val="22"/>
                <w:szCs w:val="22"/>
              </w:rPr>
              <w:t>Regulation 13 – Personal data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7D504F0D" w14:textId="1DC2C72B" w:rsidR="00C0075B" w:rsidRPr="00F84410" w:rsidRDefault="00083343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14:paraId="0CF59525" w14:textId="086B17D4" w:rsidR="00C0075B" w:rsidRPr="00F84410" w:rsidRDefault="00A300B3" w:rsidP="006810E3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&lt;1%</w:t>
            </w:r>
          </w:p>
        </w:tc>
      </w:tr>
    </w:tbl>
    <w:p w14:paraId="6A71DDB3" w14:textId="77777777" w:rsidR="00F168D8" w:rsidRPr="00EC66AC" w:rsidRDefault="00F168D8" w:rsidP="00F168D8">
      <w:pPr>
        <w:ind w:left="720"/>
        <w:rPr>
          <w:rFonts w:ascii="HelveticaNeueLT Std" w:hAnsi="HelveticaNeueLT Std"/>
          <w:sz w:val="22"/>
          <w:szCs w:val="22"/>
        </w:rPr>
      </w:pPr>
    </w:p>
    <w:p w14:paraId="2D52FDBC" w14:textId="47A41FAE" w:rsidR="00F168D8" w:rsidRPr="00EC66AC" w:rsidRDefault="00F168D8" w:rsidP="00F168D8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/>
          <w:sz w:val="22"/>
          <w:szCs w:val="22"/>
        </w:rPr>
      </w:pPr>
      <w:r w:rsidRPr="00EC66AC">
        <w:rPr>
          <w:rFonts w:ascii="HelveticaNeueLT Std" w:hAnsi="HelveticaNeueLT Std"/>
          <w:sz w:val="22"/>
          <w:szCs w:val="22"/>
        </w:rPr>
        <w:t>The highest number of reque</w:t>
      </w:r>
      <w:r w:rsidR="00025E4A">
        <w:rPr>
          <w:rFonts w:ascii="HelveticaNeueLT Std" w:hAnsi="HelveticaNeueLT Std"/>
          <w:sz w:val="22"/>
          <w:szCs w:val="22"/>
        </w:rPr>
        <w:t xml:space="preserve">sts was received by Environment and Neighbourhoods </w:t>
      </w:r>
      <w:r w:rsidRPr="00EC66AC">
        <w:rPr>
          <w:rFonts w:ascii="HelveticaNeueLT Std" w:hAnsi="HelveticaNeueLT Std"/>
          <w:sz w:val="22"/>
          <w:szCs w:val="22"/>
        </w:rPr>
        <w:t xml:space="preserve">Service </w:t>
      </w:r>
      <w:r w:rsidR="00EC66AC">
        <w:rPr>
          <w:rFonts w:ascii="HelveticaNeueLT Std" w:hAnsi="HelveticaNeueLT Std"/>
          <w:sz w:val="22"/>
          <w:szCs w:val="22"/>
        </w:rPr>
        <w:t>w</w:t>
      </w:r>
      <w:r w:rsidRPr="00EC66AC">
        <w:rPr>
          <w:rFonts w:ascii="HelveticaNeueLT Std" w:hAnsi="HelveticaNeueLT Std"/>
          <w:sz w:val="22"/>
          <w:szCs w:val="22"/>
        </w:rPr>
        <w:t xml:space="preserve">ho dealt with </w:t>
      </w:r>
      <w:r w:rsidR="00BA13F3">
        <w:rPr>
          <w:rFonts w:ascii="HelveticaNeueLT Std" w:hAnsi="HelveticaNeueLT Std"/>
          <w:sz w:val="22"/>
          <w:szCs w:val="22"/>
        </w:rPr>
        <w:t>468</w:t>
      </w:r>
      <w:r w:rsidR="00025E4A">
        <w:rPr>
          <w:rFonts w:ascii="HelveticaNeueLT Std" w:hAnsi="HelveticaNeueLT Std"/>
          <w:sz w:val="22"/>
          <w:szCs w:val="22"/>
        </w:rPr>
        <w:t xml:space="preserve"> </w:t>
      </w:r>
      <w:r w:rsidRPr="00EC66AC">
        <w:rPr>
          <w:rFonts w:ascii="HelveticaNeueLT Std" w:hAnsi="HelveticaNeueLT Std"/>
          <w:sz w:val="22"/>
          <w:szCs w:val="22"/>
        </w:rPr>
        <w:t xml:space="preserve">cases, </w:t>
      </w:r>
      <w:r w:rsidR="004C1D11">
        <w:rPr>
          <w:rFonts w:ascii="HelveticaNeueLT Std" w:hAnsi="HelveticaNeueLT Std"/>
          <w:sz w:val="22"/>
          <w:szCs w:val="22"/>
        </w:rPr>
        <w:t>33%</w:t>
      </w:r>
      <w:r w:rsidRPr="00EC66AC">
        <w:rPr>
          <w:rFonts w:ascii="HelveticaNeueLT Std" w:hAnsi="HelveticaNeueLT Std"/>
          <w:sz w:val="22"/>
          <w:szCs w:val="22"/>
        </w:rPr>
        <w:t xml:space="preserve"> of all received, </w:t>
      </w:r>
      <w:r w:rsidR="005F1FB2">
        <w:rPr>
          <w:rFonts w:ascii="HelveticaNeueLT Std" w:hAnsi="HelveticaNeueLT Std"/>
          <w:sz w:val="22"/>
          <w:szCs w:val="22"/>
        </w:rPr>
        <w:t xml:space="preserve">and </w:t>
      </w:r>
      <w:r w:rsidRPr="00EC66AC">
        <w:rPr>
          <w:rFonts w:ascii="HelveticaNeueLT Std" w:hAnsi="HelveticaNeueLT Std"/>
          <w:sz w:val="22"/>
          <w:szCs w:val="22"/>
        </w:rPr>
        <w:t xml:space="preserve">they responded to </w:t>
      </w:r>
      <w:r w:rsidR="006810E3" w:rsidRPr="006810E3">
        <w:rPr>
          <w:rFonts w:ascii="HelveticaNeueLT Std" w:hAnsi="HelveticaNeueLT Std"/>
          <w:sz w:val="22"/>
          <w:szCs w:val="22"/>
        </w:rPr>
        <w:t>8</w:t>
      </w:r>
      <w:r w:rsidR="00BA13F3">
        <w:rPr>
          <w:rFonts w:ascii="HelveticaNeueLT Std" w:hAnsi="HelveticaNeueLT Std"/>
          <w:sz w:val="22"/>
          <w:szCs w:val="22"/>
        </w:rPr>
        <w:t>9</w:t>
      </w:r>
      <w:r w:rsidRPr="006810E3">
        <w:rPr>
          <w:rFonts w:ascii="HelveticaNeueLT Std" w:hAnsi="HelveticaNeueLT Std"/>
          <w:sz w:val="22"/>
          <w:szCs w:val="22"/>
        </w:rPr>
        <w:t xml:space="preserve">% </w:t>
      </w:r>
      <w:r w:rsidRPr="00EC66AC">
        <w:rPr>
          <w:rFonts w:ascii="HelveticaNeueLT Std" w:hAnsi="HelveticaNeueLT Std"/>
          <w:sz w:val="22"/>
          <w:szCs w:val="22"/>
        </w:rPr>
        <w:t xml:space="preserve">on-time. 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2"/>
        <w:gridCol w:w="1193"/>
        <w:gridCol w:w="1709"/>
      </w:tblGrid>
      <w:tr w:rsidR="00025E4A" w14:paraId="2A23B848" w14:textId="77777777">
        <w:trPr>
          <w:trHeight w:val="1116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14:paraId="5F499B3F" w14:textId="77777777" w:rsidR="00025E4A" w:rsidRDefault="00025E4A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HelveticaNeueLT Std" w:hAnsi="HelveticaNeueLT Std" w:cs="HelveticaNeueLT Std"/>
                <w:b/>
                <w:bCs/>
                <w:color w:val="FFFFFF"/>
                <w:sz w:val="22"/>
                <w:szCs w:val="22"/>
              </w:rPr>
              <w:t xml:space="preserve">Service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14:paraId="25D5A471" w14:textId="77777777" w:rsidR="00025E4A" w:rsidRDefault="00025E4A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HelveticaNeueLT Std" w:hAnsi="HelveticaNeueLT Std" w:cs="HelveticaNeueLT Std"/>
                <w:b/>
                <w:bCs/>
                <w:color w:val="FFFFFF"/>
                <w:sz w:val="22"/>
                <w:szCs w:val="22"/>
              </w:rPr>
              <w:t xml:space="preserve">No of requests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14:paraId="101253C0" w14:textId="77777777" w:rsidR="00025E4A" w:rsidRDefault="00025E4A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HelveticaNeueLT Std" w:hAnsi="HelveticaNeueLT Std" w:cs="HelveticaNeueLT Std"/>
                <w:b/>
                <w:bCs/>
                <w:color w:val="FFFFFF"/>
                <w:sz w:val="22"/>
                <w:szCs w:val="22"/>
              </w:rPr>
              <w:t>% of total requests</w:t>
            </w:r>
          </w:p>
        </w:tc>
      </w:tr>
      <w:tr w:rsidR="00312BFE" w14:paraId="326283D9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C1C58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Environment &amp; Neighbourhoods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84E17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86E0C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33%</w:t>
            </w:r>
          </w:p>
        </w:tc>
      </w:tr>
      <w:tr w:rsidR="00312BFE" w14:paraId="6D5CEE69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8EC3C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Corporate &amp; Customer Services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B6974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94EB2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16%</w:t>
            </w:r>
          </w:p>
        </w:tc>
      </w:tr>
      <w:tr w:rsidR="00312BFE" w14:paraId="4CEBB618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313A1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Commissioning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4C71A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71273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10%</w:t>
            </w:r>
          </w:p>
        </w:tc>
      </w:tr>
      <w:tr w:rsidR="00312BFE" w14:paraId="11269364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9B47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Planning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29D21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2C684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9%</w:t>
            </w:r>
          </w:p>
        </w:tc>
      </w:tr>
      <w:tr w:rsidR="00312BFE" w14:paraId="49B2C224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A37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Children's Services - Safeguarding &amp; Social Care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D2D03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AC4C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6%</w:t>
            </w:r>
          </w:p>
        </w:tc>
      </w:tr>
      <w:tr w:rsidR="00312BFE" w14:paraId="67E8E197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EB385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Schools &amp; Learning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9EA5B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07443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5%</w:t>
            </w:r>
          </w:p>
        </w:tc>
      </w:tr>
      <w:tr w:rsidR="00312BFE" w14:paraId="4F12FAF6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340FC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Housing &amp; Growth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0E94D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2FC3A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4%</w:t>
            </w:r>
          </w:p>
        </w:tc>
      </w:tr>
      <w:tr w:rsidR="00312BFE" w14:paraId="5E67F55C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28A8F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Children's Services - Early Help &amp; Prevention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A4598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CDA85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4%</w:t>
            </w:r>
          </w:p>
        </w:tc>
      </w:tr>
      <w:tr w:rsidR="00312BFE" w14:paraId="79A7C9BC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CAA7B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Corporate Governance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50548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85168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4%</w:t>
            </w:r>
          </w:p>
        </w:tc>
      </w:tr>
      <w:tr w:rsidR="00312BFE" w14:paraId="1DBC3874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33206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Public Health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2EC6A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8F59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3%</w:t>
            </w:r>
          </w:p>
        </w:tc>
      </w:tr>
      <w:tr w:rsidR="00312BFE" w14:paraId="0F02A66B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E7BED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Strategy &amp; Communications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51F5F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1450C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2%</w:t>
            </w:r>
          </w:p>
        </w:tc>
      </w:tr>
      <w:tr w:rsidR="00312BFE" w14:paraId="7467D18C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70E2A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Adult Social Services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76368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D7A40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2%</w:t>
            </w:r>
          </w:p>
        </w:tc>
      </w:tr>
      <w:tr w:rsidR="00312BFE" w14:paraId="6C719DBB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EE211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Customer Services &amp; Libraries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389E7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E5A0F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1%</w:t>
            </w:r>
          </w:p>
        </w:tc>
      </w:tr>
      <w:tr w:rsidR="00312BFE" w14:paraId="0ED35F8C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CF62F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4E9A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D4882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1%</w:t>
            </w:r>
          </w:p>
        </w:tc>
      </w:tr>
      <w:tr w:rsidR="00312BFE" w14:paraId="6163C931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539CD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Regeneration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7534E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3850B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1%</w:t>
            </w:r>
          </w:p>
        </w:tc>
      </w:tr>
      <w:tr w:rsidR="00312BFE" w14:paraId="3D8217C6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A409B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Transformation and Resources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D520E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18B1A" w14:textId="0867AC22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&lt;1</w:t>
            </w: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%</w:t>
            </w:r>
          </w:p>
        </w:tc>
      </w:tr>
      <w:tr w:rsidR="00312BFE" w14:paraId="35681BA2" w14:textId="77777777" w:rsidTr="00312BFE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6CAAA" w14:textId="77777777" w:rsidR="00312BFE" w:rsidRPr="00312BFE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Shared Digital (Haringey)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BD64" w14:textId="77777777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372CD" w14:textId="369A81FB" w:rsidR="00312BFE" w:rsidRPr="00312BFE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  <w:r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&lt;1</w:t>
            </w:r>
            <w:r w:rsidRPr="00312BFE"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  <w:t>%</w:t>
            </w:r>
          </w:p>
        </w:tc>
      </w:tr>
      <w:tr w:rsidR="00312BFE" w14:paraId="18A97475" w14:textId="77777777" w:rsidTr="004C1D11">
        <w:trPr>
          <w:trHeight w:val="29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5F8E4C0" w14:textId="77777777" w:rsidR="00312BFE" w:rsidRPr="004C1D11" w:rsidRDefault="00312BFE" w:rsidP="00312BFE">
            <w:pPr>
              <w:autoSpaceDE w:val="0"/>
              <w:autoSpaceDN w:val="0"/>
              <w:adjustRightInd w:val="0"/>
              <w:rPr>
                <w:rFonts w:ascii="HelveticaNeueLT Std" w:hAnsi="HelveticaNeueLT Std" w:cs="HelveticaNeueLT Std"/>
                <w:color w:val="FFFFFF" w:themeColor="background1"/>
                <w:sz w:val="22"/>
                <w:szCs w:val="22"/>
              </w:rPr>
            </w:pPr>
            <w:r w:rsidRPr="004C1D11">
              <w:rPr>
                <w:rFonts w:ascii="HelveticaNeueLT Std" w:hAnsi="HelveticaNeueLT Std" w:cs="HelveticaNeueLT Std"/>
                <w:color w:val="FFFFFF" w:themeColor="background1"/>
                <w:sz w:val="22"/>
                <w:szCs w:val="22"/>
              </w:rPr>
              <w:t>Grand Total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86C7DDA" w14:textId="77777777" w:rsidR="00312BFE" w:rsidRPr="004C1D11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FFFFFF" w:themeColor="background1"/>
                <w:sz w:val="22"/>
                <w:szCs w:val="22"/>
              </w:rPr>
            </w:pPr>
            <w:r w:rsidRPr="004C1D11">
              <w:rPr>
                <w:rFonts w:ascii="HelveticaNeueLT Std" w:hAnsi="HelveticaNeueLT Std" w:cs="HelveticaNeueLT Std"/>
                <w:color w:val="FFFFFF" w:themeColor="background1"/>
                <w:sz w:val="22"/>
                <w:szCs w:val="22"/>
              </w:rPr>
              <w:t>1434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52507D0" w14:textId="77777777" w:rsidR="00312BFE" w:rsidRPr="004C1D11" w:rsidRDefault="00312BFE" w:rsidP="00312BFE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HelveticaNeueLT Std"/>
                <w:color w:val="FFFFFF" w:themeColor="background1"/>
                <w:sz w:val="22"/>
                <w:szCs w:val="22"/>
              </w:rPr>
            </w:pPr>
            <w:r w:rsidRPr="004C1D11">
              <w:rPr>
                <w:rFonts w:ascii="HelveticaNeueLT Std" w:hAnsi="HelveticaNeueLT Std" w:cs="HelveticaNeueLT Std"/>
                <w:color w:val="FFFFFF" w:themeColor="background1"/>
                <w:sz w:val="22"/>
                <w:szCs w:val="22"/>
              </w:rPr>
              <w:t>100%</w:t>
            </w:r>
          </w:p>
        </w:tc>
      </w:tr>
    </w:tbl>
    <w:p w14:paraId="454DE47E" w14:textId="6FCBADC2" w:rsidR="005C0F33" w:rsidRDefault="005C0F33" w:rsidP="005C0F33">
      <w:pPr>
        <w:pStyle w:val="ListParagraph"/>
        <w:spacing w:after="200" w:line="276" w:lineRule="auto"/>
        <w:ind w:left="360"/>
        <w:jc w:val="both"/>
        <w:rPr>
          <w:rFonts w:ascii="HelveticaNeueLT Std" w:hAnsi="HelveticaNeueLT Std" w:cs="Arial"/>
          <w:b/>
          <w:sz w:val="22"/>
          <w:szCs w:val="22"/>
        </w:rPr>
      </w:pPr>
    </w:p>
    <w:p w14:paraId="73D5D785" w14:textId="7A954BA4" w:rsidR="003F3BE9" w:rsidRDefault="003F3BE9" w:rsidP="005C0F33">
      <w:pPr>
        <w:pStyle w:val="ListParagraph"/>
        <w:spacing w:after="200" w:line="276" w:lineRule="auto"/>
        <w:ind w:left="360"/>
        <w:jc w:val="both"/>
        <w:rPr>
          <w:rFonts w:ascii="HelveticaNeueLT Std" w:hAnsi="HelveticaNeueLT Std" w:cs="Arial"/>
          <w:b/>
          <w:sz w:val="22"/>
          <w:szCs w:val="22"/>
        </w:rPr>
      </w:pPr>
    </w:p>
    <w:p w14:paraId="4C83BC00" w14:textId="74D03BB7" w:rsidR="00F263B8" w:rsidRDefault="00F263B8" w:rsidP="005C0F33">
      <w:pPr>
        <w:pStyle w:val="ListParagraph"/>
        <w:spacing w:after="200" w:line="276" w:lineRule="auto"/>
        <w:ind w:left="360"/>
        <w:jc w:val="both"/>
        <w:rPr>
          <w:rFonts w:ascii="HelveticaNeueLT Std" w:hAnsi="HelveticaNeueLT Std" w:cs="Arial"/>
          <w:b/>
          <w:sz w:val="22"/>
          <w:szCs w:val="22"/>
        </w:rPr>
      </w:pPr>
    </w:p>
    <w:p w14:paraId="738FD503" w14:textId="6FEBC5E7" w:rsidR="00F263B8" w:rsidRDefault="00F263B8" w:rsidP="005C0F33">
      <w:pPr>
        <w:pStyle w:val="ListParagraph"/>
        <w:spacing w:after="200" w:line="276" w:lineRule="auto"/>
        <w:ind w:left="360"/>
        <w:jc w:val="both"/>
        <w:rPr>
          <w:rFonts w:ascii="HelveticaNeueLT Std" w:hAnsi="HelveticaNeueLT Std" w:cs="Arial"/>
          <w:b/>
          <w:sz w:val="22"/>
          <w:szCs w:val="22"/>
        </w:rPr>
      </w:pPr>
    </w:p>
    <w:p w14:paraId="43142BD3" w14:textId="77777777" w:rsidR="00F263B8" w:rsidRPr="00EC66AC" w:rsidRDefault="00F263B8" w:rsidP="005C0F33">
      <w:pPr>
        <w:pStyle w:val="ListParagraph"/>
        <w:spacing w:after="200" w:line="276" w:lineRule="auto"/>
        <w:ind w:left="360"/>
        <w:jc w:val="both"/>
        <w:rPr>
          <w:rFonts w:ascii="HelveticaNeueLT Std" w:hAnsi="HelveticaNeueLT Std" w:cs="Arial"/>
          <w:b/>
          <w:sz w:val="22"/>
          <w:szCs w:val="22"/>
        </w:rPr>
      </w:pPr>
    </w:p>
    <w:p w14:paraId="32177526" w14:textId="498FC371" w:rsidR="005C0F33" w:rsidRPr="008D16B6" w:rsidRDefault="005C0F33" w:rsidP="008D16B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NeueLT Std Blk" w:eastAsiaTheme="minorEastAsia" w:hAnsi="HelveticaNeueLT Std Blk" w:cs="Arial"/>
          <w:b/>
          <w:color w:val="000000"/>
          <w:sz w:val="22"/>
          <w:szCs w:val="22"/>
        </w:rPr>
      </w:pPr>
      <w:r w:rsidRPr="008D16B6">
        <w:rPr>
          <w:rFonts w:ascii="HelveticaNeueLT Std Blk" w:eastAsiaTheme="minorEastAsia" w:hAnsi="HelveticaNeueLT Std Blk" w:cs="Arial"/>
          <w:b/>
          <w:color w:val="000000"/>
          <w:sz w:val="22"/>
          <w:szCs w:val="22"/>
        </w:rPr>
        <w:lastRenderedPageBreak/>
        <w:t xml:space="preserve">Internal Reviews </w:t>
      </w:r>
    </w:p>
    <w:p w14:paraId="48F60620" w14:textId="77777777" w:rsidR="00D15440" w:rsidRPr="00EC66AC" w:rsidRDefault="00D15440" w:rsidP="00D15440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Arial"/>
          <w:sz w:val="22"/>
          <w:szCs w:val="22"/>
        </w:rPr>
      </w:pPr>
      <w:r w:rsidRPr="00EC66AC">
        <w:rPr>
          <w:rFonts w:ascii="HelveticaNeueLT Std" w:hAnsi="HelveticaNeueLT Std" w:cs="Comic Sans MS"/>
          <w:sz w:val="22"/>
          <w:szCs w:val="22"/>
        </w:rPr>
        <w:t xml:space="preserve">If a customer is unhappy with </w:t>
      </w:r>
      <w:r w:rsidR="005C0F33" w:rsidRPr="00EC66AC">
        <w:rPr>
          <w:rFonts w:ascii="HelveticaNeueLT Std" w:hAnsi="HelveticaNeueLT Std" w:cs="Comic Sans MS"/>
          <w:sz w:val="22"/>
          <w:szCs w:val="22"/>
        </w:rPr>
        <w:t xml:space="preserve">the way their </w:t>
      </w:r>
      <w:r w:rsidRPr="00EC66AC">
        <w:rPr>
          <w:rFonts w:ascii="HelveticaNeueLT Std" w:hAnsi="HelveticaNeueLT Std" w:cs="Comic Sans MS"/>
          <w:sz w:val="22"/>
          <w:szCs w:val="22"/>
        </w:rPr>
        <w:t xml:space="preserve">FOI/EIR </w:t>
      </w:r>
      <w:r w:rsidR="005C0F33" w:rsidRPr="00EC66AC">
        <w:rPr>
          <w:rFonts w:ascii="HelveticaNeueLT Std" w:hAnsi="HelveticaNeueLT Std" w:cs="Comic Sans MS"/>
          <w:sz w:val="22"/>
          <w:szCs w:val="22"/>
        </w:rPr>
        <w:t xml:space="preserve">request was </w:t>
      </w:r>
      <w:r w:rsidRPr="00EC66AC">
        <w:rPr>
          <w:rFonts w:ascii="HelveticaNeueLT Std" w:hAnsi="HelveticaNeueLT Std" w:cs="Comic Sans MS"/>
          <w:sz w:val="22"/>
          <w:szCs w:val="22"/>
        </w:rPr>
        <w:t xml:space="preserve">handled, they can ask for an Internal Review. </w:t>
      </w:r>
    </w:p>
    <w:p w14:paraId="2155D2DE" w14:textId="79FD12D6" w:rsidR="005C0F33" w:rsidRPr="00B92D2B" w:rsidRDefault="00645A77" w:rsidP="00D15440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Comic Sans MS"/>
          <w:sz w:val="22"/>
          <w:szCs w:val="22"/>
        </w:rPr>
        <w:t xml:space="preserve">A total of </w:t>
      </w:r>
      <w:r w:rsidR="00475322">
        <w:rPr>
          <w:rFonts w:ascii="HelveticaNeueLT Std" w:hAnsi="HelveticaNeueLT Std" w:cs="Comic Sans MS"/>
          <w:sz w:val="22"/>
          <w:szCs w:val="22"/>
        </w:rPr>
        <w:t>80</w:t>
      </w:r>
      <w:r w:rsidR="005C0F33" w:rsidRPr="00EC66AC">
        <w:rPr>
          <w:rFonts w:ascii="HelveticaNeueLT Std" w:hAnsi="HelveticaNeueLT Std" w:cs="Comic Sans MS"/>
          <w:sz w:val="22"/>
          <w:szCs w:val="22"/>
        </w:rPr>
        <w:t xml:space="preserve"> reviews were conducted in 201</w:t>
      </w:r>
      <w:r w:rsidR="00475322">
        <w:rPr>
          <w:rFonts w:ascii="HelveticaNeueLT Std" w:hAnsi="HelveticaNeueLT Std" w:cs="Comic Sans MS"/>
          <w:sz w:val="22"/>
          <w:szCs w:val="22"/>
        </w:rPr>
        <w:t>8</w:t>
      </w:r>
      <w:r w:rsidR="005C0F33" w:rsidRPr="00EC66AC">
        <w:rPr>
          <w:rFonts w:ascii="HelveticaNeueLT Std" w:hAnsi="HelveticaNeueLT Std" w:cs="Comic Sans MS"/>
          <w:sz w:val="22"/>
          <w:szCs w:val="22"/>
        </w:rPr>
        <w:t>/1</w:t>
      </w:r>
      <w:r w:rsidR="00475322">
        <w:rPr>
          <w:rFonts w:ascii="HelveticaNeueLT Std" w:hAnsi="HelveticaNeueLT Std" w:cs="Comic Sans MS"/>
          <w:sz w:val="22"/>
          <w:szCs w:val="22"/>
        </w:rPr>
        <w:t>9</w:t>
      </w:r>
      <w:r w:rsidR="00C61C04" w:rsidRPr="007B0017">
        <w:rPr>
          <w:rFonts w:ascii="HelveticaNeueLT Std" w:hAnsi="HelveticaNeueLT Std" w:cs="Comic Sans MS"/>
          <w:sz w:val="22"/>
          <w:szCs w:val="22"/>
        </w:rPr>
        <w:t>,</w:t>
      </w:r>
      <w:r w:rsidRPr="007B0017">
        <w:rPr>
          <w:rFonts w:ascii="HelveticaNeueLT Std" w:hAnsi="HelveticaNeueLT Std" w:cs="Comic Sans MS"/>
          <w:sz w:val="22"/>
          <w:szCs w:val="22"/>
        </w:rPr>
        <w:t xml:space="preserve"> </w:t>
      </w:r>
      <w:r w:rsidR="007B0017" w:rsidRPr="007B0017">
        <w:rPr>
          <w:rFonts w:ascii="HelveticaNeueLT Std" w:hAnsi="HelveticaNeueLT Std" w:cs="Comic Sans MS"/>
          <w:sz w:val="22"/>
          <w:szCs w:val="22"/>
        </w:rPr>
        <w:t>6</w:t>
      </w:r>
      <w:r w:rsidR="005C0F33" w:rsidRPr="007B0017">
        <w:rPr>
          <w:rFonts w:ascii="HelveticaNeueLT Std" w:hAnsi="HelveticaNeueLT Std"/>
          <w:sz w:val="22"/>
          <w:szCs w:val="22"/>
        </w:rPr>
        <w:t>% of the 1</w:t>
      </w:r>
      <w:r w:rsidR="007B0017" w:rsidRPr="007B0017">
        <w:rPr>
          <w:rFonts w:ascii="HelveticaNeueLT Std" w:hAnsi="HelveticaNeueLT Std"/>
          <w:sz w:val="22"/>
          <w:szCs w:val="22"/>
        </w:rPr>
        <w:t>434</w:t>
      </w:r>
      <w:r w:rsidR="005C0F33" w:rsidRPr="00EC66AC">
        <w:rPr>
          <w:rFonts w:ascii="HelveticaNeueLT Std" w:hAnsi="HelveticaNeueLT Std"/>
          <w:sz w:val="22"/>
          <w:szCs w:val="22"/>
        </w:rPr>
        <w:t xml:space="preserve"> requests received</w:t>
      </w:r>
      <w:r w:rsidR="00C61C04" w:rsidRPr="00EC66AC">
        <w:rPr>
          <w:rFonts w:ascii="HelveticaNeueLT Std" w:hAnsi="HelveticaNeueLT Std"/>
          <w:sz w:val="22"/>
          <w:szCs w:val="22"/>
        </w:rPr>
        <w:t xml:space="preserve">.  </w:t>
      </w:r>
      <w:r>
        <w:rPr>
          <w:rFonts w:ascii="HelveticaNeueLT Std" w:hAnsi="HelveticaNeueLT Std"/>
          <w:sz w:val="22"/>
          <w:szCs w:val="22"/>
        </w:rPr>
        <w:t>20</w:t>
      </w:r>
      <w:r w:rsidR="005C0F33" w:rsidRPr="00EC66AC">
        <w:rPr>
          <w:rFonts w:ascii="HelveticaNeueLT Std" w:hAnsi="HelveticaNeueLT Std"/>
          <w:sz w:val="22"/>
          <w:szCs w:val="22"/>
        </w:rPr>
        <w:t xml:space="preserve">% </w:t>
      </w:r>
      <w:r w:rsidR="00C61C04" w:rsidRPr="00EC66AC">
        <w:rPr>
          <w:rFonts w:ascii="HelveticaNeueLT Std" w:hAnsi="HelveticaNeueLT Std"/>
          <w:sz w:val="22"/>
          <w:szCs w:val="22"/>
        </w:rPr>
        <w:t xml:space="preserve">of the reviews </w:t>
      </w:r>
      <w:r w:rsidR="005C0F33" w:rsidRPr="00EC66AC">
        <w:rPr>
          <w:rFonts w:ascii="HelveticaNeueLT Std" w:hAnsi="HelveticaNeueLT Std"/>
          <w:sz w:val="22"/>
          <w:szCs w:val="22"/>
        </w:rPr>
        <w:t>were upheld</w:t>
      </w:r>
      <w:r w:rsidR="00DF303A">
        <w:rPr>
          <w:rFonts w:ascii="HelveticaNeueLT Std" w:hAnsi="HelveticaNeueLT Std"/>
          <w:sz w:val="22"/>
          <w:szCs w:val="22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965"/>
        <w:gridCol w:w="2352"/>
        <w:gridCol w:w="2350"/>
      </w:tblGrid>
      <w:tr w:rsidR="007B0017" w:rsidRPr="00EC66AC" w14:paraId="7CD6F8C4" w14:textId="77777777" w:rsidTr="007B0017"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4874EEF" w14:textId="77777777" w:rsidR="007B0017" w:rsidRPr="00EC66AC" w:rsidRDefault="007B0017" w:rsidP="005C0F33">
            <w:pPr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Decision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5EC2130" w14:textId="0AF3E09D" w:rsidR="007B0017" w:rsidRPr="00EC66AC" w:rsidRDefault="007B0017" w:rsidP="00645A77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221" w:type="pct"/>
            <w:tcBorders>
              <w:left w:val="nil"/>
              <w:right w:val="nil"/>
            </w:tcBorders>
            <w:shd w:val="clear" w:color="auto" w:fill="000000" w:themeFill="text1"/>
          </w:tcPr>
          <w:p w14:paraId="5098F6C3" w14:textId="77777777" w:rsidR="007B0017" w:rsidRPr="00EC66AC" w:rsidRDefault="007B0017" w:rsidP="00645A77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21" w:type="pct"/>
            <w:tcBorders>
              <w:left w:val="nil"/>
            </w:tcBorders>
            <w:shd w:val="clear" w:color="auto" w:fill="000000" w:themeFill="text1"/>
          </w:tcPr>
          <w:p w14:paraId="4EC1D360" w14:textId="4EDEB37F" w:rsidR="007B0017" w:rsidRPr="00EC66AC" w:rsidRDefault="007B0017" w:rsidP="00645A77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</w:pPr>
            <w:r w:rsidRPr="00EC66AC"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>% of Total</w:t>
            </w:r>
            <w:r>
              <w:rPr>
                <w:rFonts w:ascii="HelveticaNeueLT Std" w:hAnsi="HelveticaNeueLT Std"/>
                <w:b/>
                <w:color w:val="FFFFFF" w:themeColor="background1"/>
                <w:sz w:val="22"/>
                <w:szCs w:val="22"/>
              </w:rPr>
              <w:t xml:space="preserve"> Reviews </w:t>
            </w:r>
          </w:p>
        </w:tc>
      </w:tr>
      <w:tr w:rsidR="007B0017" w:rsidRPr="00EC66AC" w14:paraId="3095A8AE" w14:textId="77777777" w:rsidTr="007B0017">
        <w:trPr>
          <w:trHeight w:val="283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70CF" w14:textId="77777777" w:rsidR="007B0017" w:rsidRPr="00645A77" w:rsidRDefault="007B0017" w:rsidP="005C0F33">
            <w:pPr>
              <w:rPr>
                <w:rFonts w:ascii="HelveticaNeueLT Std" w:hAnsi="HelveticaNeueLT Std"/>
                <w:sz w:val="22"/>
                <w:szCs w:val="22"/>
              </w:rPr>
            </w:pPr>
            <w:r w:rsidRPr="00645A77">
              <w:rPr>
                <w:rFonts w:ascii="HelveticaNeueLT Std" w:hAnsi="HelveticaNeueLT Std"/>
                <w:sz w:val="22"/>
                <w:szCs w:val="22"/>
              </w:rPr>
              <w:t>Not upheld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DEA" w14:textId="579E3C5B" w:rsidR="007B0017" w:rsidRPr="00645A77" w:rsidRDefault="007B0017" w:rsidP="00645A77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48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70B" w14:textId="77777777" w:rsidR="007B0017" w:rsidRPr="00645A77" w:rsidRDefault="007B0017" w:rsidP="00645A77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28F07" w14:textId="6DC3B4A7" w:rsidR="007B0017" w:rsidRPr="00645A77" w:rsidRDefault="007B0017" w:rsidP="00645A77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645A77">
              <w:rPr>
                <w:rFonts w:ascii="HelveticaNeueLT Std" w:hAnsi="HelveticaNeueLT Std"/>
                <w:sz w:val="22"/>
                <w:szCs w:val="22"/>
              </w:rPr>
              <w:t>6</w:t>
            </w:r>
            <w:r>
              <w:rPr>
                <w:rFonts w:ascii="HelveticaNeueLT Std" w:hAnsi="HelveticaNeueLT Std"/>
                <w:sz w:val="22"/>
                <w:szCs w:val="22"/>
              </w:rPr>
              <w:t>0</w:t>
            </w:r>
            <w:r w:rsidRPr="00645A77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7B0017" w:rsidRPr="00EC66AC" w14:paraId="4E013FBB" w14:textId="77777777" w:rsidTr="007B0017">
        <w:trPr>
          <w:trHeight w:val="283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EA55" w14:textId="77777777" w:rsidR="007B0017" w:rsidRPr="00645A77" w:rsidRDefault="007B0017" w:rsidP="005C0F33">
            <w:pPr>
              <w:rPr>
                <w:rFonts w:ascii="HelveticaNeueLT Std" w:hAnsi="HelveticaNeueLT Std"/>
                <w:sz w:val="22"/>
                <w:szCs w:val="22"/>
              </w:rPr>
            </w:pPr>
            <w:r w:rsidRPr="00645A77">
              <w:rPr>
                <w:rFonts w:ascii="HelveticaNeueLT Std" w:hAnsi="HelveticaNeueLT Std"/>
                <w:sz w:val="22"/>
                <w:szCs w:val="22"/>
              </w:rPr>
              <w:t>Partly upheld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7E4" w14:textId="7AE8690C" w:rsidR="007B0017" w:rsidRPr="00645A77" w:rsidRDefault="007B0017" w:rsidP="00645A77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16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4B2" w14:textId="77777777" w:rsidR="007B0017" w:rsidRPr="00645A77" w:rsidRDefault="007B0017" w:rsidP="00645A77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166CB" w14:textId="424B4655" w:rsidR="007B0017" w:rsidRPr="00645A77" w:rsidRDefault="007B0017" w:rsidP="00645A77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20</w:t>
            </w:r>
            <w:r w:rsidRPr="00645A77">
              <w:rPr>
                <w:rFonts w:ascii="HelveticaNeueLT Std" w:hAnsi="HelveticaNeueLT Std"/>
                <w:sz w:val="22"/>
                <w:szCs w:val="22"/>
              </w:rPr>
              <w:t>%</w:t>
            </w:r>
          </w:p>
        </w:tc>
      </w:tr>
      <w:tr w:rsidR="007B0017" w:rsidRPr="00EC66AC" w14:paraId="494BF560" w14:textId="77777777" w:rsidTr="007B0017">
        <w:trPr>
          <w:trHeight w:val="283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B570" w14:textId="77777777" w:rsidR="007B0017" w:rsidRPr="00645A77" w:rsidRDefault="007B0017" w:rsidP="005C0F33">
            <w:pPr>
              <w:rPr>
                <w:rFonts w:ascii="HelveticaNeueLT Std" w:hAnsi="HelveticaNeueLT Std"/>
                <w:sz w:val="22"/>
                <w:szCs w:val="22"/>
              </w:rPr>
            </w:pPr>
            <w:r w:rsidRPr="00645A77">
              <w:rPr>
                <w:rFonts w:ascii="HelveticaNeueLT Std" w:hAnsi="HelveticaNeueLT Std"/>
                <w:sz w:val="22"/>
                <w:szCs w:val="22"/>
              </w:rPr>
              <w:t>Upheld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E9F" w14:textId="0CC1AA8C" w:rsidR="007B0017" w:rsidRPr="00645A77" w:rsidRDefault="007B0017" w:rsidP="00645A77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645A77">
              <w:rPr>
                <w:rFonts w:ascii="HelveticaNeueLT Std" w:hAnsi="HelveticaNeueLT Std"/>
                <w:sz w:val="22"/>
                <w:szCs w:val="22"/>
              </w:rPr>
              <w:t>1</w:t>
            </w:r>
            <w:r>
              <w:rPr>
                <w:rFonts w:ascii="HelveticaNeueLT Std" w:hAnsi="HelveticaNeueLT Std"/>
                <w:sz w:val="22"/>
                <w:szCs w:val="22"/>
              </w:rPr>
              <w:t>6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4F4" w14:textId="77777777" w:rsidR="007B0017" w:rsidRPr="00645A77" w:rsidRDefault="007B0017" w:rsidP="00645A77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407CB" w14:textId="236F5350" w:rsidR="007B0017" w:rsidRPr="00645A77" w:rsidRDefault="007B0017" w:rsidP="00645A77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645A77">
              <w:rPr>
                <w:rFonts w:ascii="HelveticaNeueLT Std" w:hAnsi="HelveticaNeueLT Std"/>
                <w:sz w:val="22"/>
                <w:szCs w:val="22"/>
              </w:rPr>
              <w:t>20%</w:t>
            </w:r>
          </w:p>
        </w:tc>
      </w:tr>
    </w:tbl>
    <w:p w14:paraId="4C1B3BF5" w14:textId="77777777" w:rsidR="003F3BE9" w:rsidRDefault="003F3BE9" w:rsidP="00B92D2B">
      <w:pPr>
        <w:spacing w:after="200" w:line="276" w:lineRule="auto"/>
        <w:jc w:val="both"/>
        <w:rPr>
          <w:rFonts w:ascii="HelveticaNeueLT Std" w:hAnsi="HelveticaNeueLT Std" w:cs="Comic Sans MS"/>
          <w:sz w:val="22"/>
          <w:szCs w:val="22"/>
        </w:rPr>
      </w:pPr>
    </w:p>
    <w:p w14:paraId="73795788" w14:textId="77E20FB2" w:rsidR="00B92D2B" w:rsidRDefault="00B92D2B" w:rsidP="00B92D2B">
      <w:pPr>
        <w:spacing w:after="200" w:line="276" w:lineRule="auto"/>
        <w:jc w:val="both"/>
        <w:rPr>
          <w:rFonts w:ascii="HelveticaNeueLT Std" w:hAnsi="HelveticaNeueLT Std" w:cs="Comic Sans MS"/>
          <w:sz w:val="22"/>
          <w:szCs w:val="22"/>
        </w:rPr>
      </w:pPr>
      <w:r>
        <w:rPr>
          <w:rFonts w:ascii="HelveticaNeueLT Std" w:hAnsi="HelveticaNeueLT Std" w:cs="Comic Sans MS"/>
          <w:sz w:val="22"/>
          <w:szCs w:val="22"/>
        </w:rPr>
        <w:t xml:space="preserve">3.3.  </w:t>
      </w:r>
      <w:r>
        <w:rPr>
          <w:rFonts w:ascii="HelveticaNeueLT Std" w:hAnsi="HelveticaNeueLT Std" w:cs="Comic Sans MS"/>
          <w:sz w:val="22"/>
          <w:szCs w:val="22"/>
        </w:rPr>
        <w:tab/>
      </w:r>
      <w:r w:rsidR="007F320A">
        <w:rPr>
          <w:rFonts w:ascii="HelveticaNeueLT Std" w:hAnsi="HelveticaNeueLT Std" w:cs="Comic Sans MS"/>
          <w:sz w:val="22"/>
          <w:szCs w:val="22"/>
        </w:rPr>
        <w:t>We responded to</w:t>
      </w:r>
      <w:r w:rsidRPr="00B92D2B">
        <w:rPr>
          <w:rFonts w:ascii="HelveticaNeueLT Std" w:hAnsi="HelveticaNeueLT Std" w:cs="Comic Sans MS"/>
          <w:sz w:val="22"/>
          <w:szCs w:val="22"/>
        </w:rPr>
        <w:t xml:space="preserve"> </w:t>
      </w:r>
      <w:r w:rsidR="007B0017">
        <w:rPr>
          <w:rFonts w:ascii="HelveticaNeueLT Std" w:hAnsi="HelveticaNeueLT Std" w:cs="Comic Sans MS"/>
          <w:sz w:val="22"/>
          <w:szCs w:val="22"/>
        </w:rPr>
        <w:t>91</w:t>
      </w:r>
      <w:r w:rsidRPr="00B92D2B">
        <w:rPr>
          <w:rFonts w:ascii="HelveticaNeueLT Std" w:hAnsi="HelveticaNeueLT Std" w:cs="Comic Sans MS"/>
          <w:sz w:val="22"/>
          <w:szCs w:val="22"/>
        </w:rPr>
        <w:t>% of Internal Reviews within 20 days.</w:t>
      </w:r>
    </w:p>
    <w:p w14:paraId="36811BE5" w14:textId="77777777" w:rsidR="00F263B8" w:rsidRPr="00B92D2B" w:rsidRDefault="00F263B8" w:rsidP="00B92D2B">
      <w:pPr>
        <w:spacing w:after="200" w:line="276" w:lineRule="auto"/>
        <w:jc w:val="both"/>
        <w:rPr>
          <w:rFonts w:ascii="HelveticaNeueLT Std" w:hAnsi="HelveticaNeueLT Std" w:cs="Arial"/>
          <w:b/>
          <w:sz w:val="22"/>
          <w:szCs w:val="22"/>
        </w:rPr>
      </w:pPr>
      <w:bookmarkStart w:id="1" w:name="_GoBack"/>
      <w:bookmarkEnd w:id="1"/>
    </w:p>
    <w:p w14:paraId="469D5217" w14:textId="77777777" w:rsidR="00C61C04" w:rsidRPr="008D16B6" w:rsidRDefault="00C61C04" w:rsidP="008D16B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NeueLT Std Blk" w:eastAsiaTheme="minorEastAsia" w:hAnsi="HelveticaNeueLT Std Blk" w:cs="Arial"/>
          <w:b/>
          <w:color w:val="000000"/>
          <w:sz w:val="22"/>
          <w:szCs w:val="22"/>
        </w:rPr>
      </w:pPr>
      <w:r w:rsidRPr="008D16B6">
        <w:rPr>
          <w:rFonts w:ascii="HelveticaNeueLT Std Blk" w:eastAsiaTheme="minorEastAsia" w:hAnsi="HelveticaNeueLT Std Blk" w:cs="Arial"/>
          <w:b/>
          <w:color w:val="000000"/>
          <w:sz w:val="22"/>
          <w:szCs w:val="22"/>
        </w:rPr>
        <w:t>Information Commissioner</w:t>
      </w:r>
    </w:p>
    <w:p w14:paraId="1B4C0348" w14:textId="77777777" w:rsidR="003F3BE9" w:rsidRPr="003F3BE9" w:rsidRDefault="00C61C04" w:rsidP="003F3BE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Arial"/>
          <w:b/>
          <w:sz w:val="22"/>
          <w:szCs w:val="22"/>
        </w:rPr>
      </w:pPr>
      <w:r w:rsidRPr="003F3BE9">
        <w:rPr>
          <w:rFonts w:ascii="HelveticaNeueLT Std" w:hAnsi="HelveticaNeueLT Std" w:cs="Comic Sans MS"/>
          <w:sz w:val="22"/>
          <w:szCs w:val="22"/>
        </w:rPr>
        <w:t>If, following an internal review, a customer remains dissatisfied with the response they can approach the office of the Information Commissioner (ICO) to ask them to review the decision</w:t>
      </w:r>
      <w:r w:rsidR="00FC3EB1" w:rsidRPr="003F3BE9">
        <w:rPr>
          <w:rFonts w:ascii="HelveticaNeueLT Std" w:hAnsi="HelveticaNeueLT Std" w:cs="Comic Sans MS"/>
          <w:sz w:val="22"/>
          <w:szCs w:val="22"/>
        </w:rPr>
        <w:t>.</w:t>
      </w:r>
      <w:r w:rsidR="003F3BE9">
        <w:rPr>
          <w:rFonts w:ascii="HelveticaNeueLT Std" w:hAnsi="HelveticaNeueLT Std" w:cs="Comic Sans MS"/>
          <w:sz w:val="22"/>
          <w:szCs w:val="22"/>
        </w:rPr>
        <w:t xml:space="preserve"> </w:t>
      </w:r>
    </w:p>
    <w:p w14:paraId="7F1B6B33" w14:textId="3EEF3A1D" w:rsidR="007739F4" w:rsidRPr="003F3BE9" w:rsidRDefault="003F3BE9" w:rsidP="00F97704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HelveticaNeueLT Std" w:hAnsi="HelveticaNeueLT Std" w:cs="Arial"/>
          <w:b/>
          <w:sz w:val="22"/>
          <w:szCs w:val="22"/>
        </w:rPr>
      </w:pPr>
      <w:r w:rsidRPr="00F263B8">
        <w:rPr>
          <w:rFonts w:ascii="HelveticaNeueLT Std" w:hAnsi="HelveticaNeueLT Std" w:cs="Comic Sans MS"/>
          <w:sz w:val="22"/>
          <w:szCs w:val="22"/>
        </w:rPr>
        <w:t>D</w:t>
      </w:r>
      <w:r w:rsidR="00FD5CDA" w:rsidRPr="00F263B8">
        <w:rPr>
          <w:rFonts w:ascii="HelveticaNeueLT Std" w:hAnsi="HelveticaNeueLT Std" w:cs="Comic Sans MS"/>
          <w:sz w:val="22"/>
          <w:szCs w:val="22"/>
        </w:rPr>
        <w:t xml:space="preserve">uring </w:t>
      </w:r>
      <w:r w:rsidR="00C61C04" w:rsidRPr="00F263B8">
        <w:rPr>
          <w:rFonts w:ascii="HelveticaNeueLT Std" w:hAnsi="HelveticaNeueLT Std" w:cs="Comic Sans MS"/>
          <w:sz w:val="22"/>
          <w:szCs w:val="22"/>
        </w:rPr>
        <w:t>20</w:t>
      </w:r>
      <w:r w:rsidR="003E0B4E" w:rsidRPr="00F263B8">
        <w:rPr>
          <w:rFonts w:ascii="HelveticaNeueLT Std" w:hAnsi="HelveticaNeueLT Std" w:cs="Comic Sans MS"/>
          <w:sz w:val="22"/>
          <w:szCs w:val="22"/>
        </w:rPr>
        <w:t>1</w:t>
      </w:r>
      <w:r w:rsidR="00F263B8" w:rsidRPr="00F263B8">
        <w:rPr>
          <w:rFonts w:ascii="HelveticaNeueLT Std" w:hAnsi="HelveticaNeueLT Std" w:cs="Comic Sans MS"/>
          <w:sz w:val="22"/>
          <w:szCs w:val="22"/>
        </w:rPr>
        <w:t>8</w:t>
      </w:r>
      <w:r w:rsidR="003E0B4E" w:rsidRPr="00F263B8">
        <w:rPr>
          <w:rFonts w:ascii="HelveticaNeueLT Std" w:hAnsi="HelveticaNeueLT Std" w:cs="Comic Sans MS"/>
          <w:sz w:val="22"/>
          <w:szCs w:val="22"/>
        </w:rPr>
        <w:t>/1</w:t>
      </w:r>
      <w:r w:rsidR="00F263B8" w:rsidRPr="00F263B8">
        <w:rPr>
          <w:rFonts w:ascii="HelveticaNeueLT Std" w:hAnsi="HelveticaNeueLT Std" w:cs="Comic Sans MS"/>
          <w:sz w:val="22"/>
          <w:szCs w:val="22"/>
        </w:rPr>
        <w:t>9</w:t>
      </w:r>
      <w:r w:rsidR="00FD5CDA" w:rsidRPr="00F263B8">
        <w:rPr>
          <w:rFonts w:ascii="HelveticaNeueLT Std" w:hAnsi="HelveticaNeueLT Std" w:cs="Comic Sans MS"/>
          <w:sz w:val="22"/>
          <w:szCs w:val="22"/>
        </w:rPr>
        <w:t xml:space="preserve"> </w:t>
      </w:r>
      <w:r w:rsidR="00C61C04" w:rsidRPr="00F263B8">
        <w:rPr>
          <w:rFonts w:ascii="HelveticaNeueLT Std" w:hAnsi="HelveticaNeueLT Std" w:cs="Comic Sans MS"/>
          <w:sz w:val="22"/>
          <w:szCs w:val="22"/>
        </w:rPr>
        <w:t xml:space="preserve">a total of </w:t>
      </w:r>
      <w:r w:rsidR="00F263B8" w:rsidRPr="00F263B8">
        <w:rPr>
          <w:rFonts w:ascii="HelveticaNeueLT Std" w:hAnsi="HelveticaNeueLT Std" w:cs="Comic Sans MS"/>
          <w:sz w:val="22"/>
          <w:szCs w:val="22"/>
        </w:rPr>
        <w:t>7</w:t>
      </w:r>
      <w:r w:rsidR="00D15440" w:rsidRPr="00F263B8">
        <w:rPr>
          <w:rFonts w:ascii="HelveticaNeueLT Std" w:hAnsi="HelveticaNeueLT Std" w:cs="Comic Sans MS"/>
          <w:sz w:val="22"/>
          <w:szCs w:val="22"/>
        </w:rPr>
        <w:t xml:space="preserve"> formal enquiries</w:t>
      </w:r>
      <w:r w:rsidR="00C61C04" w:rsidRPr="00F263B8">
        <w:rPr>
          <w:rFonts w:ascii="HelveticaNeueLT Std" w:hAnsi="HelveticaNeueLT Std" w:cs="Comic Sans MS"/>
          <w:sz w:val="22"/>
          <w:szCs w:val="22"/>
        </w:rPr>
        <w:t xml:space="preserve"> were received</w:t>
      </w:r>
      <w:r w:rsidR="00D15440" w:rsidRPr="00F263B8">
        <w:rPr>
          <w:rFonts w:ascii="HelveticaNeueLT Std" w:hAnsi="HelveticaNeueLT Std" w:cs="Comic Sans MS"/>
          <w:sz w:val="22"/>
          <w:szCs w:val="22"/>
        </w:rPr>
        <w:t xml:space="preserve"> from the ICO. </w:t>
      </w:r>
      <w:r w:rsidR="003E0B4E" w:rsidRPr="00F263B8">
        <w:rPr>
          <w:rFonts w:ascii="HelveticaNeueLT Std" w:hAnsi="HelveticaNeueLT Std" w:cs="Comic Sans MS"/>
          <w:sz w:val="22"/>
          <w:szCs w:val="22"/>
        </w:rPr>
        <w:t>Four</w:t>
      </w:r>
      <w:r w:rsidR="00C61C04" w:rsidRPr="00F263B8">
        <w:rPr>
          <w:rFonts w:ascii="HelveticaNeueLT Std" w:hAnsi="HelveticaNeueLT Std" w:cs="Comic Sans MS"/>
          <w:sz w:val="22"/>
          <w:szCs w:val="22"/>
        </w:rPr>
        <w:t xml:space="preserve"> of these were settled by local resolution, </w:t>
      </w:r>
      <w:r w:rsidR="00B22DCC" w:rsidRPr="00F263B8">
        <w:rPr>
          <w:rFonts w:ascii="HelveticaNeueLT Std" w:hAnsi="HelveticaNeueLT Std" w:cs="Comic Sans MS"/>
          <w:sz w:val="22"/>
          <w:szCs w:val="22"/>
        </w:rPr>
        <w:t xml:space="preserve">meaning that </w:t>
      </w:r>
      <w:r w:rsidR="007739F4" w:rsidRPr="00F263B8">
        <w:rPr>
          <w:rFonts w:ascii="HelveticaNeueLT Std" w:hAnsi="HelveticaNeueLT Std" w:cs="Comic Sans MS"/>
          <w:sz w:val="22"/>
          <w:szCs w:val="22"/>
        </w:rPr>
        <w:t xml:space="preserve">agreement was reached with the </w:t>
      </w:r>
      <w:r w:rsidR="00B22DCC" w:rsidRPr="00F263B8">
        <w:rPr>
          <w:rFonts w:ascii="HelveticaNeueLT Std" w:hAnsi="HelveticaNeueLT Std" w:cs="Comic Sans MS"/>
          <w:sz w:val="22"/>
          <w:szCs w:val="22"/>
        </w:rPr>
        <w:t xml:space="preserve">requestor without the ICO issuing a formal decision.  </w:t>
      </w:r>
      <w:r w:rsidR="003E0B4E" w:rsidRPr="00F263B8">
        <w:rPr>
          <w:rFonts w:ascii="HelveticaNeueLT Std" w:hAnsi="HelveticaNeueLT Std" w:cs="Comic Sans MS"/>
          <w:sz w:val="22"/>
          <w:szCs w:val="22"/>
        </w:rPr>
        <w:t xml:space="preserve">The Commissioner </w:t>
      </w:r>
      <w:r w:rsidR="00F263B8" w:rsidRPr="00F263B8">
        <w:rPr>
          <w:rFonts w:ascii="HelveticaNeueLT Std" w:hAnsi="HelveticaNeueLT Std" w:cs="Comic Sans MS"/>
          <w:sz w:val="22"/>
          <w:szCs w:val="22"/>
        </w:rPr>
        <w:t xml:space="preserve">found against us in three cases and asked us to provide further information, which we did. </w:t>
      </w:r>
    </w:p>
    <w:sectPr w:rsidR="007739F4" w:rsidRPr="003F3BE9" w:rsidSect="00266ACD">
      <w:footerReference w:type="default" r:id="rId7"/>
      <w:headerReference w:type="first" r:id="rId8"/>
      <w:footerReference w:type="first" r:id="rId9"/>
      <w:pgSz w:w="11906" w:h="16838" w:code="9"/>
      <w:pgMar w:top="1675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F97A" w14:textId="77777777" w:rsidR="007F320A" w:rsidRDefault="007F320A">
      <w:r>
        <w:separator/>
      </w:r>
    </w:p>
  </w:endnote>
  <w:endnote w:type="continuationSeparator" w:id="0">
    <w:p w14:paraId="4BC9A0C5" w14:textId="77777777" w:rsidR="007F320A" w:rsidRDefault="007F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448083"/>
      <w:docPartObj>
        <w:docPartGallery w:val="Page Numbers (Bottom of Page)"/>
        <w:docPartUnique/>
      </w:docPartObj>
    </w:sdtPr>
    <w:sdtEndPr>
      <w:rPr>
        <w:rFonts w:ascii="HelveticaNeueLT Std" w:hAnsi="HelveticaNeueLT Std"/>
        <w:noProof/>
        <w:sz w:val="20"/>
        <w:szCs w:val="20"/>
      </w:rPr>
    </w:sdtEndPr>
    <w:sdtContent>
      <w:p w14:paraId="012EBD44" w14:textId="4F0E9AA5" w:rsidR="007F320A" w:rsidRPr="00C61C04" w:rsidRDefault="007F320A">
        <w:pPr>
          <w:pStyle w:val="Footer"/>
          <w:jc w:val="center"/>
          <w:rPr>
            <w:rFonts w:ascii="HelveticaNeueLT Std" w:hAnsi="HelveticaNeueLT Std"/>
            <w:sz w:val="20"/>
            <w:szCs w:val="20"/>
          </w:rPr>
        </w:pPr>
        <w:r w:rsidRPr="00C61C04">
          <w:rPr>
            <w:rFonts w:ascii="HelveticaNeueLT Std" w:hAnsi="HelveticaNeueLT Std"/>
            <w:sz w:val="20"/>
            <w:szCs w:val="20"/>
          </w:rPr>
          <w:fldChar w:fldCharType="begin"/>
        </w:r>
        <w:r w:rsidRPr="00C61C04">
          <w:rPr>
            <w:rFonts w:ascii="HelveticaNeueLT Std" w:hAnsi="HelveticaNeueLT Std"/>
            <w:sz w:val="20"/>
            <w:szCs w:val="20"/>
          </w:rPr>
          <w:instrText xml:space="preserve"> PAGE   \* MERGEFORMAT </w:instrText>
        </w:r>
        <w:r w:rsidRPr="00C61C04">
          <w:rPr>
            <w:rFonts w:ascii="HelveticaNeueLT Std" w:hAnsi="HelveticaNeueLT Std"/>
            <w:sz w:val="20"/>
            <w:szCs w:val="20"/>
          </w:rPr>
          <w:fldChar w:fldCharType="separate"/>
        </w:r>
        <w:r w:rsidR="003F3BE9">
          <w:rPr>
            <w:rFonts w:ascii="HelveticaNeueLT Std" w:hAnsi="HelveticaNeueLT Std"/>
            <w:noProof/>
            <w:sz w:val="20"/>
            <w:szCs w:val="20"/>
          </w:rPr>
          <w:t>3</w:t>
        </w:r>
        <w:r w:rsidRPr="00C61C04">
          <w:rPr>
            <w:rFonts w:ascii="HelveticaNeueLT Std" w:hAnsi="HelveticaNeueLT Std"/>
            <w:noProof/>
            <w:sz w:val="20"/>
            <w:szCs w:val="20"/>
          </w:rPr>
          <w:fldChar w:fldCharType="end"/>
        </w:r>
      </w:p>
    </w:sdtContent>
  </w:sdt>
  <w:p w14:paraId="791F8E60" w14:textId="77777777" w:rsidR="007F320A" w:rsidRDefault="007F3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0326" w14:textId="77777777" w:rsidR="007F320A" w:rsidRPr="00937F9E" w:rsidRDefault="007F320A" w:rsidP="00937F9E">
    <w:pPr>
      <w:tabs>
        <w:tab w:val="center" w:pos="4153"/>
        <w:tab w:val="right" w:pos="8306"/>
      </w:tabs>
      <w:rPr>
        <w:rFonts w:ascii="HelveticaNeueLT Std" w:hAnsi="HelveticaNeueLT Std"/>
        <w:b/>
        <w:szCs w:val="20"/>
      </w:rPr>
    </w:pPr>
  </w:p>
  <w:p w14:paraId="2FF1AFFB" w14:textId="4A59AC54" w:rsidR="007F320A" w:rsidRPr="00937F9E" w:rsidRDefault="007F320A" w:rsidP="00937F9E">
    <w:pPr>
      <w:tabs>
        <w:tab w:val="center" w:pos="4153"/>
        <w:tab w:val="right" w:pos="8306"/>
      </w:tabs>
      <w:rPr>
        <w:rFonts w:ascii="HelveticaNeueLT Std" w:hAnsi="HelveticaNeueLT Std"/>
        <w:b/>
        <w:szCs w:val="20"/>
      </w:rPr>
    </w:pPr>
    <w:r w:rsidRPr="00937F9E">
      <w:rPr>
        <w:noProof/>
      </w:rPr>
      <w:drawing>
        <wp:anchor distT="0" distB="0" distL="114300" distR="114300" simplePos="0" relativeHeight="251659264" behindDoc="0" locked="0" layoutInCell="1" allowOverlap="1" wp14:anchorId="72B5E696" wp14:editId="3EB895DA">
          <wp:simplePos x="0" y="0"/>
          <wp:positionH relativeFrom="column">
            <wp:posOffset>4732655</wp:posOffset>
          </wp:positionH>
          <wp:positionV relativeFrom="paragraph">
            <wp:posOffset>-1905</wp:posOffset>
          </wp:positionV>
          <wp:extent cx="1612900" cy="629285"/>
          <wp:effectExtent l="0" t="0" r="6350" b="0"/>
          <wp:wrapNone/>
          <wp:docPr id="1" name="Picture 1" descr="BS1995_Haringey_TapeType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1995_Haringey_TapeType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90E97" w14:textId="77777777" w:rsidR="007F320A" w:rsidRPr="00937F9E" w:rsidRDefault="007F320A" w:rsidP="00937F9E">
    <w:pPr>
      <w:tabs>
        <w:tab w:val="center" w:pos="4153"/>
        <w:tab w:val="right" w:pos="8306"/>
      </w:tabs>
      <w:rPr>
        <w:rFonts w:ascii="HelveticaNeueLT Std" w:hAnsi="HelveticaNeueLT Std"/>
        <w:b/>
        <w:szCs w:val="20"/>
      </w:rPr>
    </w:pPr>
  </w:p>
  <w:p w14:paraId="1EB1B1F7" w14:textId="77777777" w:rsidR="007F320A" w:rsidRPr="00937F9E" w:rsidRDefault="007F320A" w:rsidP="00937F9E">
    <w:pPr>
      <w:tabs>
        <w:tab w:val="center" w:pos="4153"/>
        <w:tab w:val="right" w:pos="8306"/>
      </w:tabs>
      <w:rPr>
        <w:rFonts w:ascii="HelveticaNeueLT Std" w:hAnsi="HelveticaNeueLT Std"/>
        <w:b/>
        <w:color w:val="DA291C"/>
        <w:szCs w:val="20"/>
      </w:rPr>
    </w:pPr>
    <w:r w:rsidRPr="00937F9E">
      <w:rPr>
        <w:rFonts w:ascii="HelveticaNeueLT Std" w:hAnsi="HelveticaNeueLT Std"/>
        <w:b/>
        <w:color w:val="DA291C"/>
        <w:szCs w:val="20"/>
      </w:rPr>
      <w:t>www.haringey.gov.uk</w:t>
    </w:r>
  </w:p>
  <w:p w14:paraId="74BBCB33" w14:textId="3D8E70DF" w:rsidR="007F320A" w:rsidRPr="0089011D" w:rsidRDefault="007F320A" w:rsidP="00937F9E">
    <w:pPr>
      <w:pStyle w:val="Footer"/>
      <w:rPr>
        <w:rFonts w:ascii="HelveticaNeueLT Std" w:hAnsi="HelveticaNeueLT Std" w:cs="Arial"/>
        <w:b/>
        <w:color w:val="DA291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7C8B" w14:textId="77777777" w:rsidR="007F320A" w:rsidRDefault="007F320A">
      <w:r>
        <w:separator/>
      </w:r>
    </w:p>
  </w:footnote>
  <w:footnote w:type="continuationSeparator" w:id="0">
    <w:p w14:paraId="303341CC" w14:textId="77777777" w:rsidR="007F320A" w:rsidRDefault="007F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C309" w14:textId="2E91404D" w:rsidR="007F320A" w:rsidRDefault="007F320A" w:rsidP="00696F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946"/>
    <w:multiLevelType w:val="multilevel"/>
    <w:tmpl w:val="367A2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08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152DB3"/>
    <w:multiLevelType w:val="hybridMultilevel"/>
    <w:tmpl w:val="BB16BF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527D67"/>
    <w:multiLevelType w:val="hybridMultilevel"/>
    <w:tmpl w:val="539E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B8"/>
    <w:rsid w:val="000078FD"/>
    <w:rsid w:val="00025A54"/>
    <w:rsid w:val="00025E4A"/>
    <w:rsid w:val="00083343"/>
    <w:rsid w:val="000B1E07"/>
    <w:rsid w:val="000B6103"/>
    <w:rsid w:val="000D2280"/>
    <w:rsid w:val="000D49E8"/>
    <w:rsid w:val="001117D1"/>
    <w:rsid w:val="0011593D"/>
    <w:rsid w:val="00133C58"/>
    <w:rsid w:val="001504E3"/>
    <w:rsid w:val="001572EA"/>
    <w:rsid w:val="001867C2"/>
    <w:rsid w:val="00197816"/>
    <w:rsid w:val="001A08E0"/>
    <w:rsid w:val="001B31D9"/>
    <w:rsid w:val="001D51F2"/>
    <w:rsid w:val="002219C4"/>
    <w:rsid w:val="00251184"/>
    <w:rsid w:val="0026548A"/>
    <w:rsid w:val="00266ACD"/>
    <w:rsid w:val="002D659A"/>
    <w:rsid w:val="003068B0"/>
    <w:rsid w:val="00312BFE"/>
    <w:rsid w:val="00357F14"/>
    <w:rsid w:val="003D5CD6"/>
    <w:rsid w:val="003E0B4E"/>
    <w:rsid w:val="003F3BE9"/>
    <w:rsid w:val="0044415D"/>
    <w:rsid w:val="00475322"/>
    <w:rsid w:val="004C1D11"/>
    <w:rsid w:val="004C2372"/>
    <w:rsid w:val="004F16F5"/>
    <w:rsid w:val="005020ED"/>
    <w:rsid w:val="005244CE"/>
    <w:rsid w:val="005411FB"/>
    <w:rsid w:val="005461F8"/>
    <w:rsid w:val="005473B2"/>
    <w:rsid w:val="00550A72"/>
    <w:rsid w:val="00566B27"/>
    <w:rsid w:val="005A448F"/>
    <w:rsid w:val="005C0F33"/>
    <w:rsid w:val="005F0730"/>
    <w:rsid w:val="005F1FB2"/>
    <w:rsid w:val="00645A77"/>
    <w:rsid w:val="006810E3"/>
    <w:rsid w:val="00690B60"/>
    <w:rsid w:val="00696FD3"/>
    <w:rsid w:val="007043B7"/>
    <w:rsid w:val="00704A57"/>
    <w:rsid w:val="00735FA3"/>
    <w:rsid w:val="00747E36"/>
    <w:rsid w:val="00756747"/>
    <w:rsid w:val="00762319"/>
    <w:rsid w:val="007739F4"/>
    <w:rsid w:val="00777181"/>
    <w:rsid w:val="007A42E8"/>
    <w:rsid w:val="007A5896"/>
    <w:rsid w:val="007B0017"/>
    <w:rsid w:val="007D68F6"/>
    <w:rsid w:val="007F320A"/>
    <w:rsid w:val="00802B20"/>
    <w:rsid w:val="0081425E"/>
    <w:rsid w:val="008455BD"/>
    <w:rsid w:val="00865AC8"/>
    <w:rsid w:val="0087649D"/>
    <w:rsid w:val="0089011D"/>
    <w:rsid w:val="008A7736"/>
    <w:rsid w:val="008D16B6"/>
    <w:rsid w:val="008D6EE2"/>
    <w:rsid w:val="00905F27"/>
    <w:rsid w:val="009262DB"/>
    <w:rsid w:val="00937F9E"/>
    <w:rsid w:val="00946FFB"/>
    <w:rsid w:val="00953FB8"/>
    <w:rsid w:val="00963DAB"/>
    <w:rsid w:val="009978B8"/>
    <w:rsid w:val="009E52BA"/>
    <w:rsid w:val="00A00174"/>
    <w:rsid w:val="00A300B3"/>
    <w:rsid w:val="00A404EC"/>
    <w:rsid w:val="00A54107"/>
    <w:rsid w:val="00AA5C16"/>
    <w:rsid w:val="00AB4CD3"/>
    <w:rsid w:val="00AC50B7"/>
    <w:rsid w:val="00B10E21"/>
    <w:rsid w:val="00B22DCC"/>
    <w:rsid w:val="00B37A8A"/>
    <w:rsid w:val="00B423FB"/>
    <w:rsid w:val="00B458DA"/>
    <w:rsid w:val="00B92D2B"/>
    <w:rsid w:val="00BA13F3"/>
    <w:rsid w:val="00BB5509"/>
    <w:rsid w:val="00BB5BB0"/>
    <w:rsid w:val="00BC0C76"/>
    <w:rsid w:val="00C0075B"/>
    <w:rsid w:val="00C30337"/>
    <w:rsid w:val="00C50A9C"/>
    <w:rsid w:val="00C61C04"/>
    <w:rsid w:val="00C97F2A"/>
    <w:rsid w:val="00CA3648"/>
    <w:rsid w:val="00CB79ED"/>
    <w:rsid w:val="00CE02B6"/>
    <w:rsid w:val="00CF3A70"/>
    <w:rsid w:val="00D059BD"/>
    <w:rsid w:val="00D15440"/>
    <w:rsid w:val="00D257E2"/>
    <w:rsid w:val="00D53EF9"/>
    <w:rsid w:val="00DE3350"/>
    <w:rsid w:val="00DF303A"/>
    <w:rsid w:val="00DF4ADA"/>
    <w:rsid w:val="00E312D1"/>
    <w:rsid w:val="00E470F5"/>
    <w:rsid w:val="00E725D2"/>
    <w:rsid w:val="00E85957"/>
    <w:rsid w:val="00E91F44"/>
    <w:rsid w:val="00EA002C"/>
    <w:rsid w:val="00EA1069"/>
    <w:rsid w:val="00EC66AC"/>
    <w:rsid w:val="00ED10D7"/>
    <w:rsid w:val="00ED13D1"/>
    <w:rsid w:val="00F077B4"/>
    <w:rsid w:val="00F168D8"/>
    <w:rsid w:val="00F263B8"/>
    <w:rsid w:val="00F324E6"/>
    <w:rsid w:val="00F61722"/>
    <w:rsid w:val="00F84410"/>
    <w:rsid w:val="00FB4193"/>
    <w:rsid w:val="00FC3EB1"/>
    <w:rsid w:val="00FD5CDA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1062E71"/>
  <w15:docId w15:val="{CBB4C6F1-26BE-4D6A-87FD-DD3EF5D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D65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5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3F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9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319"/>
    <w:rPr>
      <w:strike w:val="0"/>
      <w:dstrike w:val="0"/>
      <w:color w:val="022E6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62319"/>
    <w:rPr>
      <w:i/>
      <w:iCs/>
    </w:rPr>
  </w:style>
  <w:style w:type="character" w:styleId="Strong">
    <w:name w:val="Strong"/>
    <w:basedOn w:val="DefaultParagraphFont"/>
    <w:uiPriority w:val="22"/>
    <w:qFormat/>
    <w:rsid w:val="00762319"/>
    <w:rPr>
      <w:b/>
      <w:bCs/>
    </w:rPr>
  </w:style>
  <w:style w:type="paragraph" w:styleId="NormalWeb">
    <w:name w:val="Normal (Web)"/>
    <w:basedOn w:val="Normal"/>
    <w:uiPriority w:val="99"/>
    <w:unhideWhenUsed/>
    <w:rsid w:val="00762319"/>
    <w:pPr>
      <w:spacing w:after="109"/>
    </w:pPr>
  </w:style>
  <w:style w:type="character" w:styleId="FollowedHyperlink">
    <w:name w:val="FollowedHyperlink"/>
    <w:basedOn w:val="DefaultParagraphFont"/>
    <w:semiHidden/>
    <w:unhideWhenUsed/>
    <w:rsid w:val="009E52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5509"/>
    <w:pPr>
      <w:ind w:left="720"/>
      <w:contextualSpacing/>
    </w:pPr>
  </w:style>
  <w:style w:type="paragraph" w:styleId="Title">
    <w:name w:val="Title"/>
    <w:basedOn w:val="Normal"/>
    <w:link w:val="TitleChar"/>
    <w:qFormat/>
    <w:rsid w:val="00905F27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05F27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5F2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4A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4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4A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AD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61C04"/>
    <w:rPr>
      <w:sz w:val="24"/>
      <w:szCs w:val="24"/>
    </w:rPr>
  </w:style>
  <w:style w:type="paragraph" w:styleId="NoSpacing">
    <w:name w:val="No Spacing"/>
    <w:uiPriority w:val="1"/>
    <w:qFormat/>
    <w:rsid w:val="00EC66AC"/>
    <w:rPr>
      <w:sz w:val="24"/>
      <w:szCs w:val="24"/>
    </w:rPr>
  </w:style>
  <w:style w:type="table" w:styleId="TableGrid">
    <w:name w:val="Table Grid"/>
    <w:basedOn w:val="TableNormal"/>
    <w:rsid w:val="0084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55B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695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ststpmg</dc:creator>
  <cp:keywords/>
  <cp:lastModifiedBy>Dyos Sue</cp:lastModifiedBy>
  <cp:revision>8</cp:revision>
  <dcterms:created xsi:type="dcterms:W3CDTF">2019-09-27T14:10:00Z</dcterms:created>
  <dcterms:modified xsi:type="dcterms:W3CDTF">2019-10-08T15:43:00Z</dcterms:modified>
</cp:coreProperties>
</file>